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34.0" w:type="dxa"/>
        <w:tblLayout w:type="fixed"/>
        <w:tblLook w:val="0000"/>
      </w:tblPr>
      <w:tblGrid>
        <w:gridCol w:w="4820"/>
        <w:gridCol w:w="4820"/>
        <w:tblGridChange w:id="0">
          <w:tblGrid>
            <w:gridCol w:w="4820"/>
            <w:gridCol w:w="4820"/>
          </w:tblGrid>
        </w:tblGridChange>
      </w:tblGrid>
      <w:tr>
        <w:trPr>
          <w:cantSplit w:val="0"/>
          <w:trHeight w:val="22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Проект</w:t>
            </w:r>
          </w:p>
        </w:tc>
      </w:tr>
      <w:tr>
        <w:trPr>
          <w:cantSplit w:val="0"/>
          <w:trHeight w:val="18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right="34" w:firstLine="34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80" w:line="240" w:lineRule="auto"/>
              <w:ind w:right="34" w:firstLine="34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ПОСТАНОВЛЕНИЕ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right="34" w:firstLine="34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ПЛЕНУМА ВЕРХОВНОГО СУДА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34" w:firstLine="3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РОССИЙСКОЙ ФЕДЕРАЦИИ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pStyle w:val="Heading3"/>
              <w:spacing w:after="0" w:lineRule="auto"/>
              <w:ind w:right="34" w:firstLine="34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0" w:lineRule="auto"/>
              <w:ind w:firstLine="7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Rule="auto"/>
              <w:ind w:firstLine="34"/>
              <w:rPr/>
            </w:pPr>
            <w:r w:rsidDel="00000000" w:rsidR="00000000" w:rsidRPr="00000000">
              <w:rPr>
                <w:rtl w:val="0"/>
              </w:rPr>
              <w:t xml:space="preserve">г. Москва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ind w:right="34" w:firstLine="34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__2022 г.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ind w:firstLine="70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 внесении изменений в постановление Пленума Верховного Суда Российской Федерации от 27 сентября 2012 года № 19 «О применении судами законодательства о необходимой обороне и причинении вреда при задержании лица, совершившего преступление»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связи с возникающими в   судебной практике вопросами Пленум Верховного Суда Российской Федерации, руководствуясь статьей 126 Конституции Российской Федерации, статьями 2 и 5 Федерального конституционного закона от  5  февраля 2014 года № 3-ФКЗ «О Верховном Суде Российской Федерации», постановляет внести изменения в постановление Пленума Верховного Суда Российской Федерации от 27 сентября 2012 года № 19 «О применении судами законодательства о   необходимой обороне и причинении вреда при задержании лица, совершившего преступление»: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второе предложение абзаца второго пункта 3 после слов «К таким посягательствам относятся, например,» дополнить словами «незаконное проникновение в жилище против воли проживающего в нем лица, не сопряженное с насилием, опасным для жизни обороняющегося или другого лица, либо с непосредственной угрозой применения такого насилия,»;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пункт 8 дополнить абзацем вторым следующего содержания: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«защита была осуществлена при обстоятельствах, свидетельствующих о наличии реальной угрозы совершения общественно опасного посягательства, а действия оборонявшегося лица непосредственно предшествовали такому посягательству и были направлены на его предотвращение (например, посягающее лицо высказывало угрозу немедленного применения насилия в условиях, при которых у оборонявшегося лица имелись основания опасаться осуществления этой угрозы, направляло в сторону оборонявшегося лица оружие, что свидетельствовало о намерении посягающего лица применить это оружие непосредственно на месте посягательства);»;</w:t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3) пункт 9 дополнить абзацем вторым следующего содержания:</w:t>
      </w:r>
    </w:p>
    <w:p w:rsidR="00000000" w:rsidDel="00000000" w:rsidP="00000000" w:rsidRDefault="00000000" w:rsidRPr="00000000" w14:paraId="0000001A">
      <w:pPr>
        <w:spacing w:after="12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«Вместе с тем не могут признаваться провокацией нападения правомерные действия лица, в том числе направленные на пресечение нарушения общественного порядка.»;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4) пункт 13 дополнить абзацем седьмым следующего содержания: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«При проверке доводов подсудимого о совершении общественно опасного деяния в состоянии необходимой обороны суд обязан исходить из принципа презумпции невиновности (часть 3 статьи 14 УПК РФ), в том числе учитывать, что подсудимый не обязан доказывать свою невиновность или наличие в его действиях признаков менее тяжкого преступления. Бремя доказывания обвинения и опровержения доводов, приводимых обвиняемым в свою защиту, лежит на стороне обвинения, а все сомнения в наличии состояния необходимой обороны и (или) виновности лица, обвиняемого в превышении ее пределов, которые не могут быть устранены в порядке, предусмотренном Уголовно-процессуальным кодексом Российской Федерации, толкуются в пользу подсудимого.».</w:t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06.0" w:type="dxa"/>
        <w:jc w:val="left"/>
        <w:tblInd w:w="0.0" w:type="dxa"/>
        <w:tblLayout w:type="fixed"/>
        <w:tblLook w:val="0000"/>
      </w:tblPr>
      <w:tblGrid>
        <w:gridCol w:w="4796"/>
        <w:gridCol w:w="4810"/>
        <w:tblGridChange w:id="0">
          <w:tblGrid>
            <w:gridCol w:w="4796"/>
            <w:gridCol w:w="48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Председатель Верховного Суда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Российской Федерации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709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В.М. Лебедев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11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Секретарь Пленума,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судья Верховного Суда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Российской Федерации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В.В. Момотов</w:t>
            </w:r>
          </w:p>
        </w:tc>
      </w:tr>
    </w:tbl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993" w:top="967" w:left="1701" w:right="849" w:header="42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8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line="240" w:lineRule="auto"/>
      <w:jc w:val="right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