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820"/>
        <w:gridCol w:w="4820"/>
      </w:tblGrid>
      <w:tr w:rsidR="00006EFF" w:rsidTr="00D368E5">
        <w:trPr>
          <w:trHeight w:hRule="exact" w:val="1814"/>
        </w:trPr>
        <w:tc>
          <w:tcPr>
            <w:tcW w:w="9640" w:type="dxa"/>
            <w:gridSpan w:val="2"/>
          </w:tcPr>
          <w:p w:rsidR="00006EFF" w:rsidRDefault="00D368E5" w:rsidP="00D368E5">
            <w:pPr>
              <w:ind w:right="34"/>
              <w:jc w:val="right"/>
            </w:pPr>
            <w:r>
              <w:t>Проект</w:t>
            </w:r>
          </w:p>
        </w:tc>
      </w:tr>
      <w:tr w:rsidR="00006EFF" w:rsidTr="00D368E5">
        <w:tc>
          <w:tcPr>
            <w:tcW w:w="9640" w:type="dxa"/>
            <w:gridSpan w:val="2"/>
          </w:tcPr>
          <w:p w:rsidR="00006EFF" w:rsidRDefault="00006EFF" w:rsidP="00A66504">
            <w:pPr>
              <w:spacing w:after="120"/>
              <w:jc w:val="center"/>
              <w:rPr>
                <w:sz w:val="16"/>
                <w:szCs w:val="16"/>
              </w:rPr>
            </w:pPr>
          </w:p>
          <w:p w:rsidR="00006EFF" w:rsidRDefault="00006EFF" w:rsidP="00C0488B">
            <w:pPr>
              <w:spacing w:after="120"/>
              <w:ind w:right="3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006EFF" w:rsidRDefault="00006EFF" w:rsidP="00C0488B">
            <w:pPr>
              <w:spacing w:after="120"/>
              <w:ind w:right="34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ПЛЕНУМА ВЕРХОВНОГО СУДА</w:t>
            </w:r>
            <w:r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006EFF" w:rsidTr="00C0488B">
        <w:trPr>
          <w:trHeight w:val="518"/>
        </w:trPr>
        <w:tc>
          <w:tcPr>
            <w:tcW w:w="9640" w:type="dxa"/>
            <w:gridSpan w:val="2"/>
            <w:vAlign w:val="center"/>
          </w:tcPr>
          <w:p w:rsidR="00006EFF" w:rsidRDefault="00006EFF" w:rsidP="00C0488B">
            <w:pPr>
              <w:pStyle w:val="3"/>
              <w:tabs>
                <w:tab w:val="left" w:pos="9390"/>
              </w:tabs>
              <w:spacing w:after="0"/>
              <w:ind w:right="34"/>
              <w:jc w:val="center"/>
              <w:rPr>
                <w:u w:val="single"/>
              </w:rPr>
            </w:pPr>
            <w:r>
              <w:t>№</w:t>
            </w:r>
          </w:p>
        </w:tc>
      </w:tr>
      <w:tr w:rsidR="00006EFF" w:rsidTr="00D368E5">
        <w:tc>
          <w:tcPr>
            <w:tcW w:w="9640" w:type="dxa"/>
            <w:gridSpan w:val="2"/>
          </w:tcPr>
          <w:p w:rsidR="00006EFF" w:rsidRDefault="00006EFF" w:rsidP="00A66504">
            <w:pPr>
              <w:jc w:val="center"/>
              <w:rPr>
                <w:rFonts w:eastAsia="Arial Unicode MS"/>
              </w:rPr>
            </w:pPr>
          </w:p>
        </w:tc>
      </w:tr>
      <w:tr w:rsidR="00006EFF" w:rsidTr="00C0488B">
        <w:trPr>
          <w:trHeight w:val="232"/>
        </w:trPr>
        <w:tc>
          <w:tcPr>
            <w:tcW w:w="4820" w:type="dxa"/>
          </w:tcPr>
          <w:p w:rsidR="00006EFF" w:rsidRDefault="00006EFF" w:rsidP="00A66504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г. Москва</w:t>
            </w:r>
          </w:p>
        </w:tc>
        <w:tc>
          <w:tcPr>
            <w:tcW w:w="4820" w:type="dxa"/>
          </w:tcPr>
          <w:p w:rsidR="00006EFF" w:rsidRDefault="00006EFF" w:rsidP="00746CE3">
            <w:pPr>
              <w:spacing w:after="120"/>
              <w:ind w:firstLine="67"/>
              <w:jc w:val="right"/>
              <w:rPr>
                <w:szCs w:val="28"/>
              </w:rPr>
            </w:pPr>
            <w:r>
              <w:rPr>
                <w:szCs w:val="28"/>
              </w:rPr>
              <w:t>_ 202</w:t>
            </w:r>
            <w:r w:rsidR="00746CE3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</w:tr>
    </w:tbl>
    <w:p w:rsidR="00006EFF" w:rsidRDefault="00006EFF" w:rsidP="00006EFF">
      <w:pPr>
        <w:pStyle w:val="a3"/>
      </w:pPr>
    </w:p>
    <w:p w:rsidR="00D368E5" w:rsidRDefault="00D368E5" w:rsidP="00006EFF">
      <w:pPr>
        <w:pStyle w:val="a3"/>
      </w:pPr>
    </w:p>
    <w:p w:rsidR="00CA7AE1" w:rsidRDefault="00006EFF" w:rsidP="00C06B80">
      <w:pPr>
        <w:pStyle w:val="a3"/>
        <w:jc w:val="center"/>
        <w:outlineLvl w:val="0"/>
        <w:rPr>
          <w:b/>
        </w:rPr>
      </w:pPr>
      <w:r>
        <w:rPr>
          <w:b/>
        </w:rPr>
        <w:t xml:space="preserve">О внесении изменений в </w:t>
      </w:r>
      <w:r w:rsidR="008967B8">
        <w:rPr>
          <w:b/>
        </w:rPr>
        <w:t>отдельн</w:t>
      </w:r>
      <w:r>
        <w:rPr>
          <w:b/>
        </w:rPr>
        <w:t xml:space="preserve">ые постановления Пленума </w:t>
      </w:r>
    </w:p>
    <w:p w:rsidR="00006EFF" w:rsidRDefault="00006EFF" w:rsidP="00C06B80">
      <w:pPr>
        <w:pStyle w:val="a3"/>
        <w:jc w:val="center"/>
        <w:outlineLvl w:val="0"/>
      </w:pPr>
      <w:r>
        <w:rPr>
          <w:b/>
        </w:rPr>
        <w:t>Верховного Суда Российской Федерации по уголовным делам</w:t>
      </w:r>
    </w:p>
    <w:p w:rsidR="00006EFF" w:rsidRDefault="00006EFF" w:rsidP="00FC4D27">
      <w:pPr>
        <w:pStyle w:val="a3"/>
        <w:ind w:firstLine="709"/>
        <w:rPr>
          <w:szCs w:val="28"/>
        </w:rPr>
      </w:pPr>
    </w:p>
    <w:p w:rsidR="00525AD3" w:rsidRPr="00FC4D27" w:rsidRDefault="00525AD3" w:rsidP="00FC4D27">
      <w:pPr>
        <w:pStyle w:val="a3"/>
        <w:ind w:firstLine="709"/>
        <w:rPr>
          <w:szCs w:val="28"/>
        </w:rPr>
      </w:pPr>
    </w:p>
    <w:p w:rsidR="00006EFF" w:rsidRDefault="00006EFF" w:rsidP="00FC4D27">
      <w:pPr>
        <w:pStyle w:val="ConsPlusNormal"/>
        <w:ind w:firstLine="709"/>
        <w:jc w:val="both"/>
      </w:pPr>
      <w:proofErr w:type="gramStart"/>
      <w:r>
        <w:t>В связи с изменением законодательства, а также возникающими в судебной практике вопросами Пленум Верховного Суда Российской Федерации, руководствуясь статьей 126 Конституции Российской Федерации, статьями 2 и 5 Федерального конституционного закона от</w:t>
      </w:r>
      <w:r w:rsidR="00D368E5">
        <w:t> </w:t>
      </w:r>
      <w:r>
        <w:t>5</w:t>
      </w:r>
      <w:r w:rsidR="00D368E5">
        <w:t> </w:t>
      </w:r>
      <w:r>
        <w:t>февраля 2014 года № 3-ФКЗ «О Верховном Суде Российской Федерации</w:t>
      </w:r>
      <w:r w:rsidR="00014E0F">
        <w:t>»</w:t>
      </w:r>
      <w:r>
        <w:t xml:space="preserve">, </w:t>
      </w:r>
      <w:r w:rsidR="0004631F" w:rsidRPr="00B23E19">
        <w:rPr>
          <w:bCs/>
          <w:w w:val="150"/>
        </w:rPr>
        <w:t>постановляет</w:t>
      </w:r>
      <w:r w:rsidR="0004631F">
        <w:t xml:space="preserve"> </w:t>
      </w:r>
      <w:r>
        <w:t>внести изменения в следующие постановления Пленума Верховного Суда Российской Федерации:</w:t>
      </w:r>
      <w:proofErr w:type="gramEnd"/>
    </w:p>
    <w:p w:rsidR="00C35BDF" w:rsidRDefault="00C35BDF" w:rsidP="00FC4D27">
      <w:pPr>
        <w:pStyle w:val="ConsPlusNormal"/>
        <w:ind w:firstLine="709"/>
        <w:jc w:val="both"/>
      </w:pPr>
    </w:p>
    <w:p w:rsidR="00006EFF" w:rsidRDefault="00006EFF" w:rsidP="00FC4D27">
      <w:pPr>
        <w:pStyle w:val="a3"/>
        <w:ind w:firstLine="709"/>
      </w:pPr>
      <w:r>
        <w:t xml:space="preserve">1. </w:t>
      </w:r>
      <w:proofErr w:type="gramStart"/>
      <w:r>
        <w:t xml:space="preserve">В постановлении Пленума Верховного Суда Российской Федерации от </w:t>
      </w:r>
      <w:r w:rsidR="00CA7AE1">
        <w:t>14</w:t>
      </w:r>
      <w:r>
        <w:t xml:space="preserve"> </w:t>
      </w:r>
      <w:r w:rsidR="00CA7AE1">
        <w:t>июня</w:t>
      </w:r>
      <w:r>
        <w:t xml:space="preserve"> 20</w:t>
      </w:r>
      <w:r w:rsidR="00CA7AE1">
        <w:t>12</w:t>
      </w:r>
      <w:r>
        <w:t xml:space="preserve"> года № </w:t>
      </w:r>
      <w:r w:rsidR="00CA7AE1">
        <w:t>11</w:t>
      </w:r>
      <w:r>
        <w:t xml:space="preserve"> «О </w:t>
      </w:r>
      <w:r w:rsidR="00CA7AE1">
        <w:t>практике рассмотрения</w:t>
      </w:r>
      <w:r>
        <w:t xml:space="preserve"> судами </w:t>
      </w:r>
      <w:r w:rsidR="00CA7AE1">
        <w:t>вопросов, связанных с выдачей лиц для уголовного преследования или исполнения приговора, а также передачей лиц для отбывания наказания</w:t>
      </w:r>
      <w:r>
        <w:t>»</w:t>
      </w:r>
      <w:r w:rsidR="00F676A3" w:rsidRPr="00F676A3">
        <w:t xml:space="preserve"> </w:t>
      </w:r>
      <w:r w:rsidR="00F676A3" w:rsidRPr="00C07593">
        <w:t>(в редакции постановлений Пленума Верховного Суда Российской Федерации</w:t>
      </w:r>
      <w:r w:rsidR="00F676A3">
        <w:t xml:space="preserve"> от</w:t>
      </w:r>
      <w:r w:rsidR="00F676A3">
        <w:rPr>
          <w:lang w:val="en-US"/>
        </w:rPr>
        <w:t> </w:t>
      </w:r>
      <w:r w:rsidR="00F676A3">
        <w:t>19</w:t>
      </w:r>
      <w:r w:rsidR="00F676A3">
        <w:rPr>
          <w:lang w:val="en-US"/>
        </w:rPr>
        <w:t> </w:t>
      </w:r>
      <w:r w:rsidR="00F676A3">
        <w:t>декабря 2013 года №</w:t>
      </w:r>
      <w:r w:rsidR="00CF5000">
        <w:t> </w:t>
      </w:r>
      <w:r w:rsidR="00F676A3">
        <w:t>41, от 3 марта 2015 г</w:t>
      </w:r>
      <w:r w:rsidR="00CF5000">
        <w:t>ода</w:t>
      </w:r>
      <w:r w:rsidR="00F676A3">
        <w:t xml:space="preserve"> № 9)</w:t>
      </w:r>
      <w:r>
        <w:t>:</w:t>
      </w:r>
      <w:proofErr w:type="gramEnd"/>
    </w:p>
    <w:p w:rsidR="00006EFF" w:rsidRDefault="00006EFF" w:rsidP="00FC4D27">
      <w:pPr>
        <w:pStyle w:val="a3"/>
        <w:ind w:firstLine="709"/>
      </w:pPr>
    </w:p>
    <w:p w:rsidR="002D1F39" w:rsidRPr="002D1F39" w:rsidRDefault="00EA7645" w:rsidP="00EA7645">
      <w:pPr>
        <w:pStyle w:val="a3"/>
        <w:ind w:left="708"/>
      </w:pPr>
      <w:r>
        <w:t xml:space="preserve">1) </w:t>
      </w:r>
      <w:r w:rsidR="002D1F39">
        <w:t xml:space="preserve">в </w:t>
      </w:r>
      <w:r w:rsidR="00006EFF">
        <w:t>преамбул</w:t>
      </w:r>
      <w:r w:rsidR="002D1F39">
        <w:t>е</w:t>
      </w:r>
      <w:r w:rsidR="002D1F39" w:rsidRPr="00EA7645">
        <w:t>:</w:t>
      </w:r>
    </w:p>
    <w:p w:rsidR="002D1F39" w:rsidRDefault="00EA7645" w:rsidP="00EA7645">
      <w:pPr>
        <w:pStyle w:val="a3"/>
        <w:ind w:left="708"/>
      </w:pPr>
      <w:r>
        <w:t xml:space="preserve">а) </w:t>
      </w:r>
      <w:r w:rsidR="002D1F39">
        <w:t xml:space="preserve">абзац второй </w:t>
      </w:r>
      <w:r w:rsidR="002D1F39" w:rsidRPr="00B10C99">
        <w:t>исключить</w:t>
      </w:r>
      <w:r w:rsidR="002D1F39" w:rsidRPr="002D1F39">
        <w:t>;</w:t>
      </w:r>
    </w:p>
    <w:p w:rsidR="008F5642" w:rsidRDefault="008F5642" w:rsidP="008F5642">
      <w:pPr>
        <w:autoSpaceDE w:val="0"/>
        <w:autoSpaceDN w:val="0"/>
        <w:adjustRightInd w:val="0"/>
        <w:ind w:firstLine="709"/>
        <w:jc w:val="both"/>
      </w:pPr>
      <w:r>
        <w:t>б) абзацы третий и четвертый считать абзацами вторым и третьим;</w:t>
      </w:r>
    </w:p>
    <w:p w:rsidR="0010067B" w:rsidRDefault="008F5642" w:rsidP="007E6BCA">
      <w:pPr>
        <w:pStyle w:val="a3"/>
        <w:spacing w:after="120"/>
        <w:ind w:firstLine="709"/>
      </w:pPr>
      <w:r>
        <w:t>в</w:t>
      </w:r>
      <w:r w:rsidR="002D1F39">
        <w:t xml:space="preserve">) в абзаце </w:t>
      </w:r>
      <w:r w:rsidR="00A54D3F">
        <w:t>третьем</w:t>
      </w:r>
      <w:r w:rsidR="00E829BC">
        <w:t xml:space="preserve"> слова «статьями 9 и 14 Федерального конституционного закона «О судах общей юрисдикции в Российской Федерации» заменить словами «</w:t>
      </w:r>
      <w:r w:rsidR="00E829BC" w:rsidRPr="00A31CF8">
        <w:t>статьями 2 и 5 Федерального конституционного закона от 5 февраля 2014 года № 3-ФКЗ «О Верховном Суде Российской Федерации»</w:t>
      </w:r>
      <w:r w:rsidR="007B3452" w:rsidRPr="007B3452">
        <w:t>;</w:t>
      </w:r>
    </w:p>
    <w:p w:rsidR="0010067B" w:rsidRDefault="00006EFF" w:rsidP="0010067B">
      <w:pPr>
        <w:pStyle w:val="a3"/>
        <w:ind w:firstLine="708"/>
        <w:rPr>
          <w:szCs w:val="28"/>
        </w:rPr>
      </w:pPr>
      <w:r>
        <w:t xml:space="preserve">2) </w:t>
      </w:r>
      <w:r w:rsidR="0085188A">
        <w:rPr>
          <w:szCs w:val="28"/>
        </w:rPr>
        <w:t xml:space="preserve">в </w:t>
      </w:r>
      <w:r w:rsidR="008F5642">
        <w:rPr>
          <w:szCs w:val="28"/>
        </w:rPr>
        <w:t>пункте 2</w:t>
      </w:r>
      <w:r w:rsidR="008F5642" w:rsidRPr="008F5642">
        <w:rPr>
          <w:szCs w:val="28"/>
        </w:rPr>
        <w:t>:</w:t>
      </w:r>
    </w:p>
    <w:p w:rsidR="00B617AF" w:rsidRPr="00ED2CC2" w:rsidRDefault="008F5642" w:rsidP="0085188A">
      <w:pPr>
        <w:pStyle w:val="a3"/>
        <w:ind w:firstLine="709"/>
        <w:rPr>
          <w:szCs w:val="28"/>
        </w:rPr>
      </w:pPr>
      <w:r>
        <w:rPr>
          <w:szCs w:val="28"/>
          <w:lang w:val="en-US"/>
        </w:rPr>
        <w:lastRenderedPageBreak/>
        <w:t>a</w:t>
      </w:r>
      <w:r w:rsidRPr="008F5642">
        <w:rPr>
          <w:szCs w:val="28"/>
        </w:rPr>
        <w:t xml:space="preserve">) </w:t>
      </w:r>
      <w:r w:rsidR="00B617AF">
        <w:rPr>
          <w:szCs w:val="28"/>
        </w:rPr>
        <w:t xml:space="preserve">второе предложение абзаца первого дополнить </w:t>
      </w:r>
      <w:r w:rsidR="00ED2CC2">
        <w:rPr>
          <w:szCs w:val="28"/>
        </w:rPr>
        <w:t xml:space="preserve">сноской </w:t>
      </w:r>
      <w:r w:rsidR="003F001B">
        <w:rPr>
          <w:szCs w:val="28"/>
          <w:vertAlign w:val="superscript"/>
        </w:rPr>
        <w:t xml:space="preserve"> </w:t>
      </w:r>
      <w:r w:rsidR="00ED2CC2">
        <w:rPr>
          <w:szCs w:val="28"/>
        </w:rPr>
        <w:t>следующего содержания</w:t>
      </w:r>
      <w:r w:rsidR="00ED2CC2" w:rsidRPr="00ED2CC2">
        <w:rPr>
          <w:szCs w:val="28"/>
        </w:rPr>
        <w:t>:</w:t>
      </w:r>
    </w:p>
    <w:p w:rsidR="00A44434" w:rsidRPr="00A31CF8" w:rsidRDefault="00ED2CC2" w:rsidP="0085188A">
      <w:pPr>
        <w:pStyle w:val="a3"/>
        <w:ind w:firstLine="709"/>
        <w:rPr>
          <w:szCs w:val="28"/>
        </w:rPr>
      </w:pPr>
      <w:r>
        <w:rPr>
          <w:szCs w:val="28"/>
        </w:rPr>
        <w:t>«</w:t>
      </w:r>
      <w:r w:rsidR="00224036" w:rsidRPr="009E7B3C">
        <w:rPr>
          <w:b/>
          <w:szCs w:val="28"/>
          <w:vertAlign w:val="superscript"/>
        </w:rPr>
        <w:t>1</w:t>
      </w:r>
      <w:r w:rsidRPr="00224036">
        <w:rPr>
          <w:szCs w:val="28"/>
        </w:rPr>
        <w:t>Тексты</w:t>
      </w:r>
      <w:r w:rsidRPr="00A31CF8">
        <w:rPr>
          <w:szCs w:val="28"/>
        </w:rPr>
        <w:t xml:space="preserve"> международных договоров Российской Федерации размещены на </w:t>
      </w:r>
      <w:r w:rsidR="00D17662" w:rsidRPr="009E7B3C">
        <w:rPr>
          <w:szCs w:val="28"/>
        </w:rPr>
        <w:t>«О</w:t>
      </w:r>
      <w:r w:rsidRPr="009E7B3C">
        <w:rPr>
          <w:szCs w:val="28"/>
        </w:rPr>
        <w:t>фициальном</w:t>
      </w:r>
      <w:r w:rsidRPr="00A31CF8">
        <w:rPr>
          <w:szCs w:val="28"/>
        </w:rPr>
        <w:t xml:space="preserve"> интернет-портале правовой </w:t>
      </w:r>
      <w:r w:rsidR="005927AD" w:rsidRPr="00A31CF8">
        <w:rPr>
          <w:szCs w:val="28"/>
        </w:rPr>
        <w:t>информации</w:t>
      </w:r>
      <w:r w:rsidR="0019553B" w:rsidRPr="00914B93">
        <w:rPr>
          <w:b/>
          <w:szCs w:val="28"/>
        </w:rPr>
        <w:t>»</w:t>
      </w:r>
      <w:r w:rsidR="005927AD" w:rsidRPr="00A31CF8">
        <w:rPr>
          <w:szCs w:val="28"/>
        </w:rPr>
        <w:t xml:space="preserve"> </w:t>
      </w:r>
      <w:r w:rsidR="0019553B" w:rsidRPr="009E7B3C">
        <w:rPr>
          <w:szCs w:val="28"/>
        </w:rPr>
        <w:t>(</w:t>
      </w:r>
      <w:hyperlink r:id="rId8" w:history="1">
        <w:r w:rsidR="005927AD" w:rsidRPr="009E7B3C">
          <w:t>www.pravo.gov.ru</w:t>
        </w:r>
      </w:hyperlink>
      <w:r w:rsidR="0019553B" w:rsidRPr="009E7B3C">
        <w:t>)</w:t>
      </w:r>
      <w:r w:rsidR="005927AD" w:rsidRPr="009E7B3C">
        <w:rPr>
          <w:szCs w:val="28"/>
        </w:rPr>
        <w:t>,</w:t>
      </w:r>
      <w:r w:rsidR="005927AD" w:rsidRPr="00A31CF8">
        <w:rPr>
          <w:szCs w:val="28"/>
        </w:rPr>
        <w:t xml:space="preserve"> на сайте Министерства иностранных дел Российской Федерации </w:t>
      </w:r>
      <w:r w:rsidR="0019553B" w:rsidRPr="009E7B3C">
        <w:rPr>
          <w:szCs w:val="28"/>
        </w:rPr>
        <w:t>(</w:t>
      </w:r>
      <w:r w:rsidR="007726DD" w:rsidRPr="009E7B3C">
        <w:rPr>
          <w:szCs w:val="28"/>
          <w:lang w:val="en-US"/>
        </w:rPr>
        <w:t>www</w:t>
      </w:r>
      <w:r w:rsidR="007726DD" w:rsidRPr="009E7B3C">
        <w:rPr>
          <w:szCs w:val="28"/>
        </w:rPr>
        <w:t>.</w:t>
      </w:r>
      <w:hyperlink r:id="rId9" w:history="1">
        <w:r w:rsidR="005927AD" w:rsidRPr="009E7B3C">
          <w:t>mid.ru</w:t>
        </w:r>
      </w:hyperlink>
      <w:r w:rsidR="0019553B" w:rsidRPr="009E7B3C">
        <w:t>)</w:t>
      </w:r>
      <w:r w:rsidR="005927AD" w:rsidRPr="00A31CF8">
        <w:rPr>
          <w:szCs w:val="28"/>
        </w:rPr>
        <w:t xml:space="preserve"> с указанием официального источника </w:t>
      </w:r>
      <w:r w:rsidR="00A44434" w:rsidRPr="00A31CF8">
        <w:rPr>
          <w:szCs w:val="28"/>
        </w:rPr>
        <w:t>опубликования.</w:t>
      </w:r>
    </w:p>
    <w:p w:rsidR="007650EC" w:rsidRPr="002629C0" w:rsidRDefault="00A44434" w:rsidP="00044D81">
      <w:pPr>
        <w:pStyle w:val="a3"/>
        <w:ind w:firstLine="709"/>
      </w:pPr>
      <w:r w:rsidRPr="00A31CF8">
        <w:rPr>
          <w:szCs w:val="28"/>
        </w:rPr>
        <w:t xml:space="preserve">Перечень </w:t>
      </w:r>
      <w:r w:rsidR="001A2102">
        <w:rPr>
          <w:szCs w:val="28"/>
        </w:rPr>
        <w:t>государств</w:t>
      </w:r>
      <w:r w:rsidR="0010067B" w:rsidRPr="00F676A3">
        <w:rPr>
          <w:b/>
          <w:szCs w:val="28"/>
        </w:rPr>
        <w:t xml:space="preserve"> </w:t>
      </w:r>
      <w:r w:rsidR="001A2102" w:rsidRPr="00F676A3">
        <w:rPr>
          <w:szCs w:val="28"/>
        </w:rPr>
        <w:t>–</w:t>
      </w:r>
      <w:r w:rsidR="0010067B" w:rsidRPr="00F676A3">
        <w:rPr>
          <w:szCs w:val="28"/>
        </w:rPr>
        <w:t xml:space="preserve"> </w:t>
      </w:r>
      <w:r w:rsidRPr="00A31CF8">
        <w:rPr>
          <w:szCs w:val="28"/>
        </w:rPr>
        <w:t>участников многостороннего международного договора Российской Федерации размещен на официальном сайте депозитария соответствующего международного договора</w:t>
      </w:r>
      <w:r w:rsidR="00ED2CC2" w:rsidRPr="00A31CF8">
        <w:rPr>
          <w:szCs w:val="28"/>
        </w:rPr>
        <w:t xml:space="preserve"> </w:t>
      </w:r>
      <w:r w:rsidR="007650EC">
        <w:rPr>
          <w:szCs w:val="28"/>
        </w:rPr>
        <w:t>Российской Федерации, например,</w:t>
      </w:r>
      <w:r w:rsidR="007650EC" w:rsidRPr="007650EC">
        <w:t xml:space="preserve"> </w:t>
      </w:r>
      <w:hyperlink r:id="rId10" w:history="1">
        <w:r w:rsidR="005B5AA3" w:rsidRPr="009E7B3C">
          <w:t>eccis.org/reestrv2</w:t>
        </w:r>
      </w:hyperlink>
      <w:r w:rsidR="007650EC" w:rsidRPr="009E7B3C">
        <w:rPr>
          <w:szCs w:val="28"/>
        </w:rPr>
        <w:t>,</w:t>
      </w:r>
      <w:r w:rsidRPr="009E7B3C">
        <w:t xml:space="preserve"> </w:t>
      </w:r>
      <w:hyperlink r:id="rId11" w:history="1">
        <w:r w:rsidR="00850F4F" w:rsidRPr="009E7B3C">
          <w:t>treaties.un.org</w:t>
        </w:r>
      </w:hyperlink>
      <w:r w:rsidR="0037173C" w:rsidRPr="001B524D">
        <w:rPr>
          <w:b/>
          <w:color w:val="00B050"/>
        </w:rPr>
        <w:t>.</w:t>
      </w:r>
      <w:r w:rsidR="00850F4F">
        <w:rPr>
          <w:szCs w:val="28"/>
        </w:rPr>
        <w:t>»</w:t>
      </w:r>
      <w:r w:rsidR="00850F4F" w:rsidRPr="00850F4F">
        <w:rPr>
          <w:szCs w:val="28"/>
        </w:rPr>
        <w:t>;</w:t>
      </w:r>
    </w:p>
    <w:p w:rsidR="0085188A" w:rsidRPr="006929C5" w:rsidRDefault="00EF2135" w:rsidP="00044D81">
      <w:pPr>
        <w:pStyle w:val="a3"/>
        <w:ind w:firstLine="709"/>
        <w:rPr>
          <w:rFonts w:asciiTheme="majorHAnsi" w:eastAsiaTheme="majorEastAsia" w:hAnsiTheme="majorHAnsi" w:cstheme="majorBidi"/>
          <w:b/>
          <w:bCs/>
          <w:szCs w:val="28"/>
        </w:rPr>
      </w:pPr>
      <w:r>
        <w:rPr>
          <w:szCs w:val="28"/>
        </w:rPr>
        <w:t xml:space="preserve">б) </w:t>
      </w:r>
      <w:r w:rsidR="0085188A">
        <w:rPr>
          <w:szCs w:val="28"/>
        </w:rPr>
        <w:t>абзац трет</w:t>
      </w:r>
      <w:r w:rsidR="0037173C" w:rsidRPr="009E7B3C">
        <w:rPr>
          <w:szCs w:val="28"/>
        </w:rPr>
        <w:t>ий</w:t>
      </w:r>
      <w:r w:rsidR="0085188A">
        <w:rPr>
          <w:szCs w:val="28"/>
        </w:rPr>
        <w:t xml:space="preserve"> после слов «Европейской конвенции о выдаче от</w:t>
      </w:r>
      <w:r w:rsidR="007E6BCA">
        <w:rPr>
          <w:szCs w:val="28"/>
        </w:rPr>
        <w:t> </w:t>
      </w:r>
      <w:r w:rsidR="0085188A">
        <w:rPr>
          <w:szCs w:val="28"/>
        </w:rPr>
        <w:t>13</w:t>
      </w:r>
      <w:r w:rsidR="007E6BCA">
        <w:rPr>
          <w:szCs w:val="28"/>
        </w:rPr>
        <w:t> </w:t>
      </w:r>
      <w:r w:rsidR="0085188A">
        <w:rPr>
          <w:szCs w:val="28"/>
        </w:rPr>
        <w:t xml:space="preserve">декабря 1957 года» дополнить словами </w:t>
      </w:r>
      <w:r w:rsidR="0085188A" w:rsidRPr="000D7516">
        <w:rPr>
          <w:szCs w:val="28"/>
        </w:rPr>
        <w:t>«(далее</w:t>
      </w:r>
      <w:r w:rsidR="00A41714" w:rsidRPr="000D7516">
        <w:rPr>
          <w:szCs w:val="28"/>
        </w:rPr>
        <w:t xml:space="preserve"> </w:t>
      </w:r>
      <w:r w:rsidR="00FF757B" w:rsidRPr="000D7516">
        <w:rPr>
          <w:szCs w:val="28"/>
        </w:rPr>
        <w:t>–</w:t>
      </w:r>
      <w:r w:rsidR="00A41714" w:rsidRPr="005D51F4">
        <w:rPr>
          <w:rStyle w:val="10"/>
          <w:b w:val="0"/>
          <w:color w:val="auto"/>
        </w:rPr>
        <w:t xml:space="preserve"> </w:t>
      </w:r>
      <w:r w:rsidR="0085188A" w:rsidRPr="000D7516">
        <w:rPr>
          <w:szCs w:val="28"/>
        </w:rPr>
        <w:t>Европейская конвенция о выдаче</w:t>
      </w:r>
      <w:r w:rsidR="00A41714" w:rsidRPr="000D7516">
        <w:rPr>
          <w:szCs w:val="28"/>
        </w:rPr>
        <w:t>)</w:t>
      </w:r>
      <w:r w:rsidR="0085188A" w:rsidRPr="000D7516">
        <w:rPr>
          <w:szCs w:val="28"/>
        </w:rPr>
        <w:t>»;</w:t>
      </w:r>
    </w:p>
    <w:p w:rsidR="008F5642" w:rsidRPr="00867564" w:rsidRDefault="00EF2135" w:rsidP="007E6BCA">
      <w:pPr>
        <w:pStyle w:val="a3"/>
        <w:spacing w:after="120"/>
        <w:ind w:firstLine="709"/>
        <w:rPr>
          <w:szCs w:val="28"/>
        </w:rPr>
      </w:pPr>
      <w:r>
        <w:rPr>
          <w:szCs w:val="28"/>
        </w:rPr>
        <w:t>в</w:t>
      </w:r>
      <w:r w:rsidR="008F5642">
        <w:rPr>
          <w:szCs w:val="28"/>
        </w:rPr>
        <w:t>) абзац четверт</w:t>
      </w:r>
      <w:r w:rsidR="0010067B" w:rsidRPr="009E7B3C">
        <w:rPr>
          <w:szCs w:val="28"/>
        </w:rPr>
        <w:t>ый</w:t>
      </w:r>
      <w:r w:rsidR="008F5642" w:rsidRPr="009E7B3C">
        <w:rPr>
          <w:szCs w:val="28"/>
        </w:rPr>
        <w:t xml:space="preserve"> </w:t>
      </w:r>
      <w:r w:rsidR="008F5642">
        <w:rPr>
          <w:szCs w:val="28"/>
        </w:rPr>
        <w:t xml:space="preserve">после слов </w:t>
      </w:r>
      <w:r w:rsidR="00867564">
        <w:rPr>
          <w:szCs w:val="28"/>
        </w:rPr>
        <w:t>«с учетом оговорок» дополнить словами «</w:t>
      </w:r>
      <w:r w:rsidR="00867564" w:rsidRPr="000D7516">
        <w:rPr>
          <w:szCs w:val="28"/>
        </w:rPr>
        <w:t>и заявлений</w:t>
      </w:r>
      <w:r w:rsidR="00867564">
        <w:rPr>
          <w:szCs w:val="28"/>
        </w:rPr>
        <w:t>»</w:t>
      </w:r>
      <w:r w:rsidR="00867564" w:rsidRPr="00867564">
        <w:rPr>
          <w:szCs w:val="28"/>
        </w:rPr>
        <w:t>;</w:t>
      </w:r>
    </w:p>
    <w:p w:rsidR="00006EFF" w:rsidRPr="0059200B" w:rsidRDefault="00006EFF" w:rsidP="007E6BCA">
      <w:pPr>
        <w:pStyle w:val="ConsPlusNormal"/>
        <w:spacing w:after="120"/>
        <w:ind w:firstLine="709"/>
        <w:jc w:val="both"/>
      </w:pPr>
      <w:r w:rsidRPr="0059200B">
        <w:t xml:space="preserve">3) </w:t>
      </w:r>
      <w:r w:rsidR="00404F3B">
        <w:t>в</w:t>
      </w:r>
      <w:r w:rsidRPr="0059200B">
        <w:t xml:space="preserve"> пункт</w:t>
      </w:r>
      <w:r w:rsidR="00404F3B">
        <w:t>е</w:t>
      </w:r>
      <w:r w:rsidRPr="0059200B">
        <w:t xml:space="preserve"> 3</w:t>
      </w:r>
      <w:r w:rsidR="00CA0D1A" w:rsidRPr="0059200B">
        <w:t xml:space="preserve"> </w:t>
      </w:r>
      <w:r w:rsidR="00404F3B">
        <w:t>слова «Конвенцией о защите прав человека и основных свобод от 4 ноября 1950 года» заменить словами «</w:t>
      </w:r>
      <w:r w:rsidR="00404F3B" w:rsidRPr="000D7516">
        <w:t>Конвенцией Содружества Независимых Государств о правах и основных свободах человека от 26 мая 1995 года</w:t>
      </w:r>
      <w:r w:rsidR="00404F3B">
        <w:t>»</w:t>
      </w:r>
      <w:r w:rsidR="00CA0D1A" w:rsidRPr="0059200B">
        <w:t>;</w:t>
      </w:r>
    </w:p>
    <w:p w:rsidR="00006EFF" w:rsidRPr="000D7516" w:rsidRDefault="00006EFF" w:rsidP="007E6BCA">
      <w:pPr>
        <w:pStyle w:val="ConsPlusNormal"/>
        <w:spacing w:after="120"/>
        <w:ind w:firstLine="709"/>
        <w:jc w:val="both"/>
      </w:pPr>
      <w:r>
        <w:t xml:space="preserve">4) </w:t>
      </w:r>
      <w:r w:rsidR="00CC3D67">
        <w:t xml:space="preserve">в </w:t>
      </w:r>
      <w:r>
        <w:t>пункт</w:t>
      </w:r>
      <w:r w:rsidR="00CC3D67">
        <w:t xml:space="preserve">е </w:t>
      </w:r>
      <w:r>
        <w:t xml:space="preserve">6 </w:t>
      </w:r>
      <w:r w:rsidR="00CC3D67">
        <w:t>слова «подлежит выдаче» заменить словами «</w:t>
      </w:r>
      <w:r w:rsidR="00CC3D67" w:rsidRPr="000D7516">
        <w:t>может быть выдано»</w:t>
      </w:r>
      <w:r w:rsidRPr="000D7516">
        <w:t>;</w:t>
      </w:r>
    </w:p>
    <w:p w:rsidR="00006EFF" w:rsidRPr="00813CE0" w:rsidRDefault="00006EFF" w:rsidP="007E6BCA">
      <w:pPr>
        <w:pStyle w:val="ConsPlusNormal"/>
        <w:ind w:firstLine="709"/>
        <w:jc w:val="both"/>
      </w:pPr>
      <w:r>
        <w:t xml:space="preserve">5) </w:t>
      </w:r>
      <w:r w:rsidR="00813CE0">
        <w:t>в</w:t>
      </w:r>
      <w:r>
        <w:t xml:space="preserve"> пункт</w:t>
      </w:r>
      <w:r w:rsidR="00813CE0">
        <w:t>е</w:t>
      </w:r>
      <w:r>
        <w:t xml:space="preserve"> </w:t>
      </w:r>
      <w:r w:rsidR="00813CE0">
        <w:t>11</w:t>
      </w:r>
      <w:r>
        <w:t xml:space="preserve"> </w:t>
      </w:r>
      <w:r w:rsidR="00813CE0">
        <w:t>слова «статье 2 Конвенции о защите прав человека и основных свобод, в толковании Европейского Суда по правам человека</w:t>
      </w:r>
      <w:proofErr w:type="gramStart"/>
      <w:r w:rsidR="00813CE0">
        <w:t>,»</w:t>
      </w:r>
      <w:proofErr w:type="gramEnd"/>
      <w:r w:rsidR="00FF757B" w:rsidRPr="00FF757B">
        <w:t xml:space="preserve"> </w:t>
      </w:r>
      <w:r w:rsidR="00FF757B">
        <w:t>исключить</w:t>
      </w:r>
      <w:r w:rsidR="00813CE0" w:rsidRPr="00813CE0">
        <w:t>;</w:t>
      </w:r>
    </w:p>
    <w:p w:rsidR="005D3991" w:rsidRPr="005D3991" w:rsidRDefault="00006EFF" w:rsidP="00FC4D27">
      <w:pPr>
        <w:pStyle w:val="ConsPlusNormal"/>
        <w:ind w:firstLine="709"/>
        <w:jc w:val="both"/>
      </w:pPr>
      <w:r>
        <w:t xml:space="preserve">6) в абзаце </w:t>
      </w:r>
      <w:r w:rsidR="00813CE0">
        <w:t>втором пункта 12</w:t>
      </w:r>
      <w:r w:rsidR="005D3991" w:rsidRPr="005D3991">
        <w:t>:</w:t>
      </w:r>
    </w:p>
    <w:p w:rsidR="005D3991" w:rsidRPr="005D3991" w:rsidRDefault="005D3991" w:rsidP="00FC4D27">
      <w:pPr>
        <w:pStyle w:val="ConsPlusNormal"/>
        <w:ind w:firstLine="709"/>
        <w:jc w:val="both"/>
      </w:pPr>
      <w:r>
        <w:t xml:space="preserve">а) </w:t>
      </w:r>
      <w:r w:rsidR="00006EFF">
        <w:t xml:space="preserve">слова </w:t>
      </w:r>
      <w:r>
        <w:t>«согласно статье 3 Конвенции о защите прав человека и</w:t>
      </w:r>
      <w:r w:rsidR="00525AD3">
        <w:t> </w:t>
      </w:r>
      <w:r>
        <w:t>основных свобод, в толковании Европейского Суда по правам человека</w:t>
      </w:r>
      <w:proofErr w:type="gramStart"/>
      <w:r>
        <w:t>,»</w:t>
      </w:r>
      <w:proofErr w:type="gramEnd"/>
      <w:r w:rsidR="0048424E" w:rsidRPr="0048424E">
        <w:t xml:space="preserve"> </w:t>
      </w:r>
      <w:r w:rsidR="0048424E">
        <w:t>исключить</w:t>
      </w:r>
      <w:r w:rsidRPr="005D3991">
        <w:t>;</w:t>
      </w:r>
    </w:p>
    <w:p w:rsidR="00006EFF" w:rsidRDefault="005D3991" w:rsidP="00BE32A3">
      <w:pPr>
        <w:pStyle w:val="ConsPlusNormal"/>
        <w:spacing w:after="120"/>
        <w:ind w:firstLine="709"/>
        <w:jc w:val="both"/>
      </w:pPr>
      <w:r>
        <w:t>б) слово «относятся»</w:t>
      </w:r>
      <w:r w:rsidR="00006EFF">
        <w:t xml:space="preserve"> заменить словами «</w:t>
      </w:r>
      <w:r w:rsidRPr="000D7516">
        <w:t>следует относить</w:t>
      </w:r>
      <w:r w:rsidR="00006EFF">
        <w:t>»;</w:t>
      </w:r>
    </w:p>
    <w:p w:rsidR="00006EFF" w:rsidRPr="0015765C" w:rsidRDefault="00006EFF" w:rsidP="00BE32A3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7) </w:t>
      </w:r>
      <w:r w:rsidR="005B0B72">
        <w:t>в</w:t>
      </w:r>
      <w:r>
        <w:t xml:space="preserve"> пункт</w:t>
      </w:r>
      <w:r w:rsidR="005B0B72">
        <w:t xml:space="preserve">е </w:t>
      </w:r>
      <w:r>
        <w:t>1</w:t>
      </w:r>
      <w:r w:rsidR="005B0B72">
        <w:t>3 слова «статья 3 Конвенции о защите прав человека и</w:t>
      </w:r>
      <w:r w:rsidR="005F79C0">
        <w:t> </w:t>
      </w:r>
      <w:r w:rsidR="005B0B72">
        <w:t>основных свобод» заменить словами «</w:t>
      </w:r>
      <w:r w:rsidR="005B0B72" w:rsidRPr="000D7516">
        <w:t xml:space="preserve">статья 7 Международного пакта </w:t>
      </w:r>
      <w:r w:rsidR="0015765C" w:rsidRPr="000D7516">
        <w:t>о</w:t>
      </w:r>
      <w:r w:rsidR="00BE32A3">
        <w:t> </w:t>
      </w:r>
      <w:r w:rsidR="0015765C" w:rsidRPr="000D7516">
        <w:t>гражданских и политических правах</w:t>
      </w:r>
      <w:r w:rsidR="005B0B72" w:rsidRPr="000D7516">
        <w:t>»</w:t>
      </w:r>
      <w:r w:rsidR="0015765C" w:rsidRPr="000D7516">
        <w:t>;</w:t>
      </w:r>
    </w:p>
    <w:p w:rsidR="00006EFF" w:rsidRDefault="00006EFF" w:rsidP="00BE32A3">
      <w:pPr>
        <w:pStyle w:val="ConsPlusNormal"/>
        <w:spacing w:after="120"/>
        <w:ind w:firstLine="709"/>
        <w:jc w:val="both"/>
      </w:pPr>
      <w:r>
        <w:t xml:space="preserve">8) </w:t>
      </w:r>
      <w:r w:rsidR="0015765C">
        <w:t xml:space="preserve">в абзаце третьем </w:t>
      </w:r>
      <w:r>
        <w:t>пункта 1</w:t>
      </w:r>
      <w:r w:rsidR="0015765C">
        <w:t>4 слова «</w:t>
      </w:r>
      <w:r w:rsidR="0015765C" w:rsidRPr="0015765C">
        <w:t xml:space="preserve">; </w:t>
      </w:r>
      <w:r w:rsidR="0015765C">
        <w:t xml:space="preserve">Европейский комитет по предупреждению пыток и бесчеловечного или унижающего достоинство обращения или наказания, действующий во исполнение </w:t>
      </w:r>
      <w:r w:rsidR="004A050A">
        <w:t>Европейской конвенции по предупреждению пыток и бесчеловечного или унижающего достоинство обращения или наказания от 26 ноября 1987 года и т.д.</w:t>
      </w:r>
      <w:r w:rsidR="0015765C">
        <w:t>»</w:t>
      </w:r>
      <w:r w:rsidR="00FF757B" w:rsidRPr="00FF757B">
        <w:t xml:space="preserve"> </w:t>
      </w:r>
      <w:r w:rsidR="00FF757B">
        <w:t>исключить</w:t>
      </w:r>
      <w:r w:rsidR="004A050A" w:rsidRPr="004A050A">
        <w:t>;</w:t>
      </w:r>
    </w:p>
    <w:p w:rsidR="00D05D62" w:rsidRPr="00D05D62" w:rsidRDefault="00006EFF" w:rsidP="00BE32A3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 xml:space="preserve">9) </w:t>
      </w:r>
      <w:r w:rsidR="00D05D62">
        <w:rPr>
          <w:bCs/>
          <w:iCs/>
        </w:rPr>
        <w:t xml:space="preserve">в </w:t>
      </w:r>
      <w:r>
        <w:rPr>
          <w:bCs/>
          <w:iCs/>
        </w:rPr>
        <w:t>пункт</w:t>
      </w:r>
      <w:r w:rsidR="00D05D62">
        <w:rPr>
          <w:bCs/>
          <w:iCs/>
        </w:rPr>
        <w:t>е 15</w:t>
      </w:r>
      <w:r w:rsidR="00D05D62" w:rsidRPr="00D05D62">
        <w:rPr>
          <w:bCs/>
          <w:iCs/>
        </w:rPr>
        <w:t>:</w:t>
      </w:r>
    </w:p>
    <w:p w:rsidR="00006EFF" w:rsidRDefault="00D05D62" w:rsidP="00FC4D27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а)</w:t>
      </w:r>
      <w:r w:rsidR="00006EFF">
        <w:rPr>
          <w:bCs/>
          <w:iCs/>
        </w:rPr>
        <w:t xml:space="preserve"> </w:t>
      </w:r>
      <w:r w:rsidR="00597B12">
        <w:rPr>
          <w:bCs/>
          <w:iCs/>
        </w:rPr>
        <w:t xml:space="preserve">в первом предложении </w:t>
      </w:r>
      <w:r>
        <w:rPr>
          <w:bCs/>
          <w:iCs/>
        </w:rPr>
        <w:t>слова «, пунктом 1 статьи 5 Конвенции о</w:t>
      </w:r>
      <w:r w:rsidR="00BE32A3">
        <w:rPr>
          <w:bCs/>
          <w:iCs/>
        </w:rPr>
        <w:t> </w:t>
      </w:r>
      <w:r>
        <w:rPr>
          <w:bCs/>
          <w:iCs/>
        </w:rPr>
        <w:t>защите прав человека и основных свобод»</w:t>
      </w:r>
      <w:r w:rsidR="0048424E" w:rsidRPr="0048424E">
        <w:rPr>
          <w:bCs/>
          <w:iCs/>
        </w:rPr>
        <w:t xml:space="preserve"> </w:t>
      </w:r>
      <w:r w:rsidR="0048424E">
        <w:rPr>
          <w:bCs/>
          <w:iCs/>
        </w:rPr>
        <w:t>исключить</w:t>
      </w:r>
      <w:r w:rsidR="00006EFF">
        <w:rPr>
          <w:bCs/>
          <w:iCs/>
        </w:rPr>
        <w:t>;</w:t>
      </w:r>
    </w:p>
    <w:p w:rsidR="00D05D62" w:rsidRPr="000D7516" w:rsidRDefault="00D05D62" w:rsidP="00BE32A3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597B12">
        <w:rPr>
          <w:bCs/>
          <w:iCs/>
        </w:rPr>
        <w:t xml:space="preserve">во втором предложении </w:t>
      </w:r>
      <w:r w:rsidR="00043FDB">
        <w:rPr>
          <w:bCs/>
          <w:iCs/>
        </w:rPr>
        <w:t xml:space="preserve">слова «и залога» заменить словами </w:t>
      </w:r>
      <w:r w:rsidR="00043FDB" w:rsidRPr="000D7516">
        <w:rPr>
          <w:bCs/>
          <w:iCs/>
        </w:rPr>
        <w:t>«, залога и запрета определенных действий»</w:t>
      </w:r>
      <w:r w:rsidR="000F542A" w:rsidRPr="000D7516">
        <w:rPr>
          <w:bCs/>
          <w:iCs/>
        </w:rPr>
        <w:t>;</w:t>
      </w:r>
    </w:p>
    <w:p w:rsidR="00006EFF" w:rsidRDefault="00006EFF" w:rsidP="00FC4D27">
      <w:pPr>
        <w:autoSpaceDE w:val="0"/>
        <w:autoSpaceDN w:val="0"/>
        <w:adjustRightInd w:val="0"/>
        <w:ind w:firstLine="709"/>
        <w:jc w:val="both"/>
      </w:pPr>
      <w:r>
        <w:rPr>
          <w:bCs/>
          <w:iCs/>
        </w:rPr>
        <w:lastRenderedPageBreak/>
        <w:t xml:space="preserve">10) </w:t>
      </w:r>
      <w:r w:rsidR="002724B8">
        <w:rPr>
          <w:bCs/>
          <w:iCs/>
        </w:rPr>
        <w:t xml:space="preserve">в </w:t>
      </w:r>
      <w:r>
        <w:t>пункт</w:t>
      </w:r>
      <w:r w:rsidR="002724B8">
        <w:t>е</w:t>
      </w:r>
      <w:r>
        <w:t xml:space="preserve"> 1</w:t>
      </w:r>
      <w:r w:rsidR="002724B8">
        <w:t xml:space="preserve">8 абзацы четвертый </w:t>
      </w:r>
      <w:r w:rsidR="00597B12">
        <w:t xml:space="preserve">и пятый </w:t>
      </w:r>
      <w:r>
        <w:t>изложить в следующей редакции:</w:t>
      </w:r>
    </w:p>
    <w:p w:rsidR="002724B8" w:rsidRPr="004C534D" w:rsidRDefault="00006EFF" w:rsidP="002724B8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t>«</w:t>
      </w:r>
      <w:r w:rsidR="002724B8" w:rsidRPr="004C534D">
        <w:rPr>
          <w:szCs w:val="28"/>
        </w:rPr>
        <w:t>ходатайства о взятии под стражу, которое содержит информацию, предусмотренную</w:t>
      </w:r>
      <w:r w:rsidR="002724B8" w:rsidRPr="004C534D">
        <w:rPr>
          <w:b/>
          <w:szCs w:val="28"/>
        </w:rPr>
        <w:t xml:space="preserve"> </w:t>
      </w:r>
      <w:r w:rsidR="002724B8" w:rsidRPr="000D7516">
        <w:rPr>
          <w:szCs w:val="28"/>
        </w:rPr>
        <w:t xml:space="preserve">международным договором Российской Федерации (например, в </w:t>
      </w:r>
      <w:hyperlink r:id="rId12" w:history="1">
        <w:r w:rsidR="002724B8" w:rsidRPr="000D7516">
          <w:rPr>
            <w:szCs w:val="28"/>
          </w:rPr>
          <w:t xml:space="preserve">статье </w:t>
        </w:r>
      </w:hyperlink>
      <w:r w:rsidR="002724B8" w:rsidRPr="000D7516">
        <w:rPr>
          <w:szCs w:val="28"/>
        </w:rPr>
        <w:t>70 Конвенции о правовой помощи и правовых отношениях по гражданским, семейным и уголовным делам от 7 октября 2002</w:t>
      </w:r>
      <w:r w:rsidR="00525AD3">
        <w:rPr>
          <w:szCs w:val="28"/>
        </w:rPr>
        <w:t> </w:t>
      </w:r>
      <w:r w:rsidR="002724B8" w:rsidRPr="000D7516">
        <w:rPr>
          <w:szCs w:val="28"/>
        </w:rPr>
        <w:t>года (далее – Конвенция о правовой помощи 2002 года),</w:t>
      </w:r>
      <w:r w:rsidR="002724B8" w:rsidRPr="00E65A22">
        <w:rPr>
          <w:b/>
          <w:szCs w:val="28"/>
        </w:rPr>
        <w:t xml:space="preserve"> </w:t>
      </w:r>
      <w:r w:rsidR="002724B8" w:rsidRPr="004C534D">
        <w:rPr>
          <w:szCs w:val="28"/>
        </w:rPr>
        <w:t xml:space="preserve">в </w:t>
      </w:r>
      <w:hyperlink r:id="rId13" w:history="1">
        <w:r w:rsidR="002724B8" w:rsidRPr="004C534D">
          <w:rPr>
            <w:szCs w:val="28"/>
          </w:rPr>
          <w:t>статье</w:t>
        </w:r>
        <w:r w:rsidR="00525AD3">
          <w:rPr>
            <w:szCs w:val="28"/>
          </w:rPr>
          <w:t> </w:t>
        </w:r>
        <w:r w:rsidR="002724B8" w:rsidRPr="004C534D">
          <w:rPr>
            <w:szCs w:val="28"/>
          </w:rPr>
          <w:t>61</w:t>
        </w:r>
      </w:hyperlink>
      <w:r w:rsidR="002724B8" w:rsidRPr="004C534D">
        <w:rPr>
          <w:szCs w:val="28"/>
        </w:rPr>
        <w:t xml:space="preserve"> Конвенции о правовой помощи и правовых отношениях по гражданским, семейным и уголовным делам от 22</w:t>
      </w:r>
      <w:proofErr w:type="gramEnd"/>
      <w:r w:rsidR="002724B8" w:rsidRPr="004C534D">
        <w:rPr>
          <w:szCs w:val="28"/>
        </w:rPr>
        <w:t xml:space="preserve"> января 1993 года </w:t>
      </w:r>
      <w:r w:rsidR="002724B8" w:rsidRPr="000D7516">
        <w:rPr>
          <w:szCs w:val="28"/>
        </w:rPr>
        <w:t>(далее – Конвенция о</w:t>
      </w:r>
      <w:r w:rsidR="00BE32A3">
        <w:rPr>
          <w:szCs w:val="28"/>
        </w:rPr>
        <w:t> </w:t>
      </w:r>
      <w:r w:rsidR="002724B8" w:rsidRPr="000D7516">
        <w:rPr>
          <w:szCs w:val="28"/>
        </w:rPr>
        <w:t>правовой помощи 1993 года)</w:t>
      </w:r>
      <w:r w:rsidR="00917462">
        <w:rPr>
          <w:szCs w:val="28"/>
        </w:rPr>
        <w:t>,</w:t>
      </w:r>
      <w:r w:rsidR="002724B8" w:rsidRPr="004C534D">
        <w:rPr>
          <w:szCs w:val="28"/>
        </w:rPr>
        <w:t xml:space="preserve"> если запрашивающее государство является участником </w:t>
      </w:r>
      <w:r w:rsidR="002724B8" w:rsidRPr="00917462">
        <w:rPr>
          <w:szCs w:val="28"/>
        </w:rPr>
        <w:t>соответствующего</w:t>
      </w:r>
      <w:r w:rsidR="002724B8">
        <w:rPr>
          <w:b/>
          <w:szCs w:val="28"/>
        </w:rPr>
        <w:t xml:space="preserve"> </w:t>
      </w:r>
      <w:r w:rsidR="002724B8" w:rsidRPr="004C534D">
        <w:rPr>
          <w:szCs w:val="28"/>
        </w:rPr>
        <w:t>международного договора;</w:t>
      </w:r>
    </w:p>
    <w:p w:rsidR="002724B8" w:rsidRPr="000D7516" w:rsidRDefault="002724B8" w:rsidP="00BE32A3">
      <w:pPr>
        <w:autoSpaceDE w:val="0"/>
        <w:autoSpaceDN w:val="0"/>
        <w:adjustRightInd w:val="0"/>
        <w:spacing w:after="120"/>
        <w:ind w:firstLine="567"/>
        <w:jc w:val="both"/>
        <w:rPr>
          <w:szCs w:val="28"/>
        </w:rPr>
      </w:pPr>
      <w:proofErr w:type="gramStart"/>
      <w:r w:rsidRPr="000D7516">
        <w:rPr>
          <w:szCs w:val="28"/>
        </w:rPr>
        <w:t xml:space="preserve">решения о взятии под стражу в качестве меры пресечения в связи с объявлением лица в международный (межгосударственный) розыск или приговора, вступившего в законную силу, предусмотренных, например, </w:t>
      </w:r>
      <w:hyperlink r:id="rId14" w:history="1">
        <w:r w:rsidRPr="000D7516">
          <w:rPr>
            <w:szCs w:val="28"/>
          </w:rPr>
          <w:t>статьей</w:t>
        </w:r>
        <w:r w:rsidR="00525AD3">
          <w:rPr>
            <w:szCs w:val="28"/>
          </w:rPr>
          <w:t> </w:t>
        </w:r>
      </w:hyperlink>
      <w:r w:rsidRPr="000D7516">
        <w:rPr>
          <w:szCs w:val="28"/>
        </w:rPr>
        <w:t>70 Конвенции о правовой помощи 2002 года</w:t>
      </w:r>
      <w:r w:rsidRPr="00133A3B">
        <w:rPr>
          <w:szCs w:val="28"/>
        </w:rPr>
        <w:t>,</w:t>
      </w:r>
      <w:r w:rsidRPr="00917462">
        <w:rPr>
          <w:szCs w:val="28"/>
        </w:rPr>
        <w:t xml:space="preserve"> </w:t>
      </w:r>
      <w:hyperlink r:id="rId15" w:history="1">
        <w:r w:rsidRPr="004C534D">
          <w:rPr>
            <w:szCs w:val="28"/>
          </w:rPr>
          <w:t>стать</w:t>
        </w:r>
        <w:r w:rsidRPr="000D7516">
          <w:rPr>
            <w:szCs w:val="28"/>
          </w:rPr>
          <w:t>ей</w:t>
        </w:r>
        <w:r w:rsidRPr="004C534D">
          <w:rPr>
            <w:szCs w:val="28"/>
          </w:rPr>
          <w:t xml:space="preserve"> 6</w:t>
        </w:r>
        <w:r w:rsidR="00A31CF8">
          <w:rPr>
            <w:szCs w:val="28"/>
          </w:rPr>
          <w:t>1</w:t>
        </w:r>
        <w:r w:rsidRPr="000D7516">
          <w:rPr>
            <w:szCs w:val="28"/>
            <w:vertAlign w:val="superscript"/>
          </w:rPr>
          <w:t>1</w:t>
        </w:r>
      </w:hyperlink>
      <w:r w:rsidRPr="004C534D">
        <w:rPr>
          <w:szCs w:val="28"/>
        </w:rPr>
        <w:t xml:space="preserve"> Конвенции о правовой помощи</w:t>
      </w:r>
      <w:r w:rsidRPr="004C534D">
        <w:rPr>
          <w:b/>
          <w:szCs w:val="28"/>
        </w:rPr>
        <w:t xml:space="preserve"> </w:t>
      </w:r>
      <w:r w:rsidRPr="000D7516">
        <w:rPr>
          <w:szCs w:val="28"/>
        </w:rPr>
        <w:t>1993 года,</w:t>
      </w:r>
      <w:r w:rsidRPr="004C534D">
        <w:rPr>
          <w:b/>
          <w:szCs w:val="28"/>
        </w:rPr>
        <w:t xml:space="preserve"> </w:t>
      </w:r>
      <w:r w:rsidRPr="004C534D">
        <w:rPr>
          <w:szCs w:val="28"/>
        </w:rPr>
        <w:t xml:space="preserve">если запрашивающее государство является участником </w:t>
      </w:r>
      <w:hyperlink r:id="rId16" w:history="1">
        <w:r w:rsidRPr="00917462">
          <w:t>Протокола</w:t>
        </w:r>
      </w:hyperlink>
      <w:r w:rsidRPr="004C534D">
        <w:rPr>
          <w:szCs w:val="28"/>
        </w:rPr>
        <w:t xml:space="preserve"> к этой Конвенции</w:t>
      </w:r>
      <w:r w:rsidRPr="000D7516">
        <w:rPr>
          <w:color w:val="00B050"/>
          <w:szCs w:val="28"/>
        </w:rPr>
        <w:t>,</w:t>
      </w:r>
      <w:r w:rsidRPr="000D7516">
        <w:rPr>
          <w:szCs w:val="28"/>
        </w:rPr>
        <w:t xml:space="preserve"> подписанного 28 марта 1997</w:t>
      </w:r>
      <w:r w:rsidR="00525AD3">
        <w:rPr>
          <w:szCs w:val="28"/>
        </w:rPr>
        <w:t> </w:t>
      </w:r>
      <w:r w:rsidRPr="000D7516">
        <w:rPr>
          <w:szCs w:val="28"/>
        </w:rPr>
        <w:t>года (далее – Протокол 1997 года);</w:t>
      </w:r>
      <w:r w:rsidR="004F2758" w:rsidRPr="000D7516">
        <w:rPr>
          <w:szCs w:val="28"/>
        </w:rPr>
        <w:t>»;</w:t>
      </w:r>
      <w:proofErr w:type="gramEnd"/>
    </w:p>
    <w:p w:rsidR="00006EFF" w:rsidRDefault="004F2758" w:rsidP="002724B8">
      <w:pPr>
        <w:pStyle w:val="ConsPlusNormal"/>
        <w:ind w:firstLine="709"/>
        <w:jc w:val="both"/>
      </w:pPr>
      <w:r>
        <w:t>11</w:t>
      </w:r>
      <w:r w:rsidR="00006EFF">
        <w:t xml:space="preserve">) </w:t>
      </w:r>
      <w:r w:rsidR="003642E9">
        <w:t xml:space="preserve">в </w:t>
      </w:r>
      <w:r>
        <w:t>пункт</w:t>
      </w:r>
      <w:r w:rsidR="003642E9">
        <w:t>е</w:t>
      </w:r>
      <w:r>
        <w:t xml:space="preserve"> 19</w:t>
      </w:r>
      <w:r w:rsidR="00006EFF">
        <w:t>:</w:t>
      </w:r>
    </w:p>
    <w:p w:rsidR="003642E9" w:rsidRPr="003642E9" w:rsidRDefault="003642E9" w:rsidP="00FC4D27">
      <w:pPr>
        <w:pStyle w:val="ConsPlusNormal"/>
        <w:ind w:firstLine="709"/>
        <w:jc w:val="both"/>
      </w:pPr>
      <w:r>
        <w:t>а)</w:t>
      </w:r>
      <w:r w:rsidRPr="003642E9">
        <w:t xml:space="preserve"> </w:t>
      </w:r>
      <w:r>
        <w:t>абзац первый изложить в</w:t>
      </w:r>
      <w:r>
        <w:rPr>
          <w:vertAlign w:val="superscript"/>
        </w:rPr>
        <w:t xml:space="preserve"> </w:t>
      </w:r>
      <w:r>
        <w:t xml:space="preserve"> следующей редакции</w:t>
      </w:r>
      <w:r w:rsidRPr="003642E9">
        <w:t>:</w:t>
      </w:r>
    </w:p>
    <w:p w:rsidR="00502E02" w:rsidRDefault="00006EFF" w:rsidP="00FC4D27">
      <w:pPr>
        <w:pStyle w:val="ConsPlusNormal"/>
        <w:ind w:firstLine="709"/>
        <w:jc w:val="both"/>
        <w:rPr>
          <w:bCs/>
        </w:rPr>
      </w:pPr>
      <w:r>
        <w:t>«</w:t>
      </w:r>
      <w:r w:rsidR="004F2758">
        <w:t xml:space="preserve">19. </w:t>
      </w:r>
      <w:r w:rsidR="004F2758" w:rsidRPr="004C534D">
        <w:t xml:space="preserve">Обратить внимание судов на то, что согласно </w:t>
      </w:r>
      <w:r w:rsidR="004F2758" w:rsidRPr="000D7516">
        <w:t xml:space="preserve">пункту </w:t>
      </w:r>
      <w:r w:rsidR="00133A3B" w:rsidRPr="00914B93">
        <w:rPr>
          <w:b/>
        </w:rPr>
        <w:t>«</w:t>
      </w:r>
      <w:r w:rsidR="004F2758" w:rsidRPr="000D7516">
        <w:t>б</w:t>
      </w:r>
      <w:r w:rsidR="00133A3B" w:rsidRPr="00914B93">
        <w:rPr>
          <w:b/>
        </w:rPr>
        <w:t>»</w:t>
      </w:r>
      <w:r w:rsidR="004F2758" w:rsidRPr="000D7516">
        <w:t xml:space="preserve"> </w:t>
      </w:r>
      <w:hyperlink r:id="rId17" w:history="1">
        <w:r w:rsidR="004F2758" w:rsidRPr="000D7516">
          <w:t>статьи</w:t>
        </w:r>
        <w:r w:rsidR="00525AD3">
          <w:t> </w:t>
        </w:r>
      </w:hyperlink>
      <w:r w:rsidR="004F2758" w:rsidRPr="000D7516">
        <w:t xml:space="preserve">75 Конвенции о правовой помощи 2002 года срок содержания лица под стражей до получения запроса о выдаче не должен превышать </w:t>
      </w:r>
      <w:r w:rsidR="004F2758" w:rsidRPr="00914B93">
        <w:t>сорок</w:t>
      </w:r>
      <w:r w:rsidR="004F2758" w:rsidRPr="000D7516">
        <w:t xml:space="preserve"> дней. В силу</w:t>
      </w:r>
      <w:r w:rsidR="004F2758" w:rsidRPr="004C534D">
        <w:rPr>
          <w:b/>
        </w:rPr>
        <w:t xml:space="preserve"> </w:t>
      </w:r>
      <w:hyperlink r:id="rId18" w:history="1">
        <w:r w:rsidR="004F2758" w:rsidRPr="004C534D">
          <w:t>части</w:t>
        </w:r>
        <w:r w:rsidR="00525AD3">
          <w:t> </w:t>
        </w:r>
        <w:r w:rsidR="004F2758" w:rsidRPr="004C534D">
          <w:t>1 статьи 62</w:t>
        </w:r>
      </w:hyperlink>
      <w:r w:rsidR="004F2758" w:rsidRPr="004C534D">
        <w:t xml:space="preserve"> Конвенции о правовой помощи </w:t>
      </w:r>
      <w:r w:rsidR="004F2758" w:rsidRPr="000D7516">
        <w:t>1993 года</w:t>
      </w:r>
      <w:r w:rsidR="004F2758" w:rsidRPr="004C534D">
        <w:rPr>
          <w:b/>
        </w:rPr>
        <w:t xml:space="preserve"> </w:t>
      </w:r>
      <w:r w:rsidR="004F2758" w:rsidRPr="004C534D">
        <w:t>срок содержания лица под стражей до получения запроса о выдаче не должен превышать один месяц.</w:t>
      </w:r>
      <w:r w:rsidR="004F2758" w:rsidRPr="004C534D">
        <w:rPr>
          <w:b/>
        </w:rPr>
        <w:t xml:space="preserve"> </w:t>
      </w:r>
      <w:r w:rsidR="004F2758" w:rsidRPr="004C534D">
        <w:t>Если запрашивающее государство является участником</w:t>
      </w:r>
      <w:r w:rsidR="004F2758" w:rsidRPr="004C534D">
        <w:rPr>
          <w:b/>
        </w:rPr>
        <w:t xml:space="preserve"> </w:t>
      </w:r>
      <w:hyperlink r:id="rId19" w:history="1">
        <w:r w:rsidR="004F2758" w:rsidRPr="004C534D">
          <w:t>Протокола</w:t>
        </w:r>
      </w:hyperlink>
      <w:r w:rsidR="004F2758" w:rsidRPr="004C534D">
        <w:rPr>
          <w:b/>
        </w:rPr>
        <w:t xml:space="preserve"> </w:t>
      </w:r>
      <w:r w:rsidR="004F2758" w:rsidRPr="00ED6429">
        <w:t>1997</w:t>
      </w:r>
      <w:r w:rsidR="00525AD3">
        <w:t> </w:t>
      </w:r>
      <w:r w:rsidR="004F2758" w:rsidRPr="00ED6429">
        <w:t>года</w:t>
      </w:r>
      <w:r w:rsidR="004F2758" w:rsidRPr="004C534D">
        <w:t>, то указанный срок не может превышать сорок дней</w:t>
      </w:r>
      <w:proofErr w:type="gramStart"/>
      <w:r w:rsidR="004F2758" w:rsidRPr="004C534D">
        <w:t>.</w:t>
      </w:r>
      <w:r w:rsidR="00502E02">
        <w:rPr>
          <w:bCs/>
        </w:rPr>
        <w:t>»;</w:t>
      </w:r>
      <w:proofErr w:type="gramEnd"/>
    </w:p>
    <w:p w:rsidR="003642E9" w:rsidRPr="008F4A40" w:rsidRDefault="003642E9" w:rsidP="00BE32A3">
      <w:pPr>
        <w:pStyle w:val="ConsPlusNormal"/>
        <w:spacing w:after="120"/>
        <w:ind w:firstLine="709"/>
        <w:jc w:val="both"/>
        <w:rPr>
          <w:bCs/>
        </w:rPr>
      </w:pPr>
      <w:r>
        <w:rPr>
          <w:bCs/>
        </w:rPr>
        <w:t>б) во втором предложении второго абзаца слова «</w:t>
      </w:r>
      <w:r w:rsidR="008F4A40">
        <w:rPr>
          <w:bCs/>
        </w:rPr>
        <w:t>международного договора</w:t>
      </w:r>
      <w:r>
        <w:rPr>
          <w:bCs/>
        </w:rPr>
        <w:t>»</w:t>
      </w:r>
      <w:r w:rsidR="008F4A40">
        <w:rPr>
          <w:bCs/>
        </w:rPr>
        <w:t xml:space="preserve"> </w:t>
      </w:r>
      <w:r w:rsidR="000004E7">
        <w:rPr>
          <w:bCs/>
        </w:rPr>
        <w:t>заменить</w:t>
      </w:r>
      <w:r w:rsidR="008F4A40">
        <w:rPr>
          <w:bCs/>
        </w:rPr>
        <w:t xml:space="preserve"> слов</w:t>
      </w:r>
      <w:r w:rsidR="000004E7">
        <w:rPr>
          <w:bCs/>
        </w:rPr>
        <w:t>а</w:t>
      </w:r>
      <w:r w:rsidR="008F4A40">
        <w:rPr>
          <w:bCs/>
        </w:rPr>
        <w:t>м</w:t>
      </w:r>
      <w:r w:rsidR="000004E7">
        <w:rPr>
          <w:bCs/>
        </w:rPr>
        <w:t>и</w:t>
      </w:r>
      <w:r w:rsidR="008F4A40">
        <w:rPr>
          <w:bCs/>
        </w:rPr>
        <w:t xml:space="preserve"> «</w:t>
      </w:r>
      <w:r w:rsidR="008F4A40" w:rsidRPr="000D7516">
        <w:rPr>
          <w:bCs/>
        </w:rPr>
        <w:t>иного</w:t>
      </w:r>
      <w:r w:rsidR="000004E7">
        <w:rPr>
          <w:b/>
          <w:bCs/>
        </w:rPr>
        <w:t xml:space="preserve"> </w:t>
      </w:r>
      <w:r w:rsidR="000004E7" w:rsidRPr="000004E7">
        <w:rPr>
          <w:bCs/>
        </w:rPr>
        <w:t>международного договора</w:t>
      </w:r>
      <w:r w:rsidR="008F4A40">
        <w:rPr>
          <w:bCs/>
        </w:rPr>
        <w:t>»</w:t>
      </w:r>
      <w:r w:rsidR="008F4A40" w:rsidRPr="008F4A40">
        <w:rPr>
          <w:bCs/>
        </w:rPr>
        <w:t>;</w:t>
      </w:r>
    </w:p>
    <w:p w:rsidR="008F45BF" w:rsidRPr="008F45BF" w:rsidRDefault="00006EFF" w:rsidP="00FC4D27">
      <w:pPr>
        <w:pStyle w:val="ConsPlusNormal"/>
        <w:ind w:firstLine="709"/>
        <w:jc w:val="both"/>
        <w:rPr>
          <w:bCs/>
        </w:rPr>
      </w:pPr>
      <w:r>
        <w:rPr>
          <w:bCs/>
        </w:rPr>
        <w:t>1</w:t>
      </w:r>
      <w:r w:rsidR="008F45BF" w:rsidRPr="008F45BF">
        <w:rPr>
          <w:bCs/>
        </w:rPr>
        <w:t>2</w:t>
      </w:r>
      <w:r>
        <w:rPr>
          <w:bCs/>
        </w:rPr>
        <w:t xml:space="preserve">) </w:t>
      </w:r>
      <w:r w:rsidR="008F45BF">
        <w:rPr>
          <w:bCs/>
        </w:rPr>
        <w:t xml:space="preserve">в первом предложении </w:t>
      </w:r>
      <w:r>
        <w:rPr>
          <w:bCs/>
        </w:rPr>
        <w:t>пункт</w:t>
      </w:r>
      <w:r w:rsidR="008F45BF">
        <w:rPr>
          <w:bCs/>
        </w:rPr>
        <w:t>а 24</w:t>
      </w:r>
      <w:r w:rsidR="008F45BF" w:rsidRPr="008F45BF">
        <w:rPr>
          <w:bCs/>
        </w:rPr>
        <w:t>:</w:t>
      </w:r>
    </w:p>
    <w:p w:rsidR="00006EFF" w:rsidRPr="000D7516" w:rsidRDefault="008F45BF" w:rsidP="00FC4D27">
      <w:pPr>
        <w:pStyle w:val="ConsPlusNormal"/>
        <w:ind w:firstLine="709"/>
        <w:jc w:val="both"/>
        <w:rPr>
          <w:bCs/>
        </w:rPr>
      </w:pPr>
      <w:r>
        <w:rPr>
          <w:bCs/>
        </w:rPr>
        <w:t>а) слова «согласно статье»</w:t>
      </w:r>
      <w:r w:rsidR="00006EFF">
        <w:rPr>
          <w:bCs/>
          <w:vertAlign w:val="superscript"/>
        </w:rPr>
        <w:t xml:space="preserve"> </w:t>
      </w:r>
      <w:r>
        <w:rPr>
          <w:bCs/>
        </w:rPr>
        <w:t>заменить словами «</w:t>
      </w:r>
      <w:r w:rsidRPr="000D7516">
        <w:rPr>
          <w:bCs/>
        </w:rPr>
        <w:t>исходя из положений статьи»;</w:t>
      </w:r>
    </w:p>
    <w:p w:rsidR="008F45BF" w:rsidRPr="00B92192" w:rsidRDefault="008F45BF" w:rsidP="00BE32A3">
      <w:pPr>
        <w:pStyle w:val="ConsPlusNormal"/>
        <w:spacing w:after="120"/>
        <w:ind w:firstLine="709"/>
        <w:jc w:val="both"/>
        <w:rPr>
          <w:bCs/>
        </w:rPr>
      </w:pPr>
      <w:r>
        <w:rPr>
          <w:bCs/>
        </w:rPr>
        <w:t>б) слова «</w:t>
      </w:r>
      <w:r w:rsidR="00B92192">
        <w:rPr>
          <w:bCs/>
        </w:rPr>
        <w:t>с учетом статьи 13 Конвенции о защите прав человека и</w:t>
      </w:r>
      <w:r w:rsidR="00525AD3">
        <w:rPr>
          <w:bCs/>
        </w:rPr>
        <w:t> </w:t>
      </w:r>
      <w:r w:rsidR="00B92192">
        <w:rPr>
          <w:bCs/>
        </w:rPr>
        <w:t xml:space="preserve">основных </w:t>
      </w:r>
      <w:r w:rsidR="00B92192" w:rsidRPr="00914B93">
        <w:rPr>
          <w:bCs/>
        </w:rPr>
        <w:t>свобод</w:t>
      </w:r>
      <w:r>
        <w:rPr>
          <w:bCs/>
        </w:rPr>
        <w:t>»</w:t>
      </w:r>
      <w:r w:rsidR="00B92192">
        <w:rPr>
          <w:bCs/>
        </w:rPr>
        <w:t xml:space="preserve"> исключить</w:t>
      </w:r>
      <w:r w:rsidR="00B92192" w:rsidRPr="00B92192">
        <w:rPr>
          <w:bCs/>
        </w:rPr>
        <w:t>;</w:t>
      </w:r>
    </w:p>
    <w:p w:rsidR="00006EFF" w:rsidRPr="00B92192" w:rsidRDefault="00B92192" w:rsidP="00BE32A3">
      <w:pPr>
        <w:pStyle w:val="a3"/>
        <w:spacing w:after="120"/>
        <w:ind w:firstLine="709"/>
      </w:pPr>
      <w:r w:rsidRPr="00B92192">
        <w:t xml:space="preserve">13) </w:t>
      </w:r>
      <w:r>
        <w:t>в пункте 26 слова «, статьи 3 и 13 Конвенции о защите прав человека и основных свобод»</w:t>
      </w:r>
      <w:r w:rsidR="0048424E" w:rsidRPr="0048424E">
        <w:t xml:space="preserve"> </w:t>
      </w:r>
      <w:r w:rsidR="0048424E">
        <w:t>исключить</w:t>
      </w:r>
      <w:r w:rsidRPr="00B92192">
        <w:t>;</w:t>
      </w:r>
    </w:p>
    <w:p w:rsidR="00B92192" w:rsidRPr="00EB2FD8" w:rsidRDefault="00B92192" w:rsidP="00BE32A3">
      <w:pPr>
        <w:pStyle w:val="a3"/>
        <w:spacing w:after="120"/>
        <w:ind w:firstLine="709"/>
      </w:pPr>
      <w:r>
        <w:t>14) пункт 27 исключить</w:t>
      </w:r>
      <w:r w:rsidRPr="00EB2FD8">
        <w:t>;</w:t>
      </w:r>
    </w:p>
    <w:p w:rsidR="00B92192" w:rsidRDefault="00B92192" w:rsidP="00BE32A3">
      <w:pPr>
        <w:pStyle w:val="a3"/>
        <w:spacing w:after="120"/>
        <w:ind w:firstLine="709"/>
      </w:pPr>
      <w:r w:rsidRPr="00EB2FD8">
        <w:t xml:space="preserve">15) </w:t>
      </w:r>
      <w:r w:rsidR="009E380B">
        <w:t>в первом предложении пункта 30 слова «</w:t>
      </w:r>
      <w:r w:rsidR="00EB2FD8">
        <w:t>, пункт 2 статьи</w:t>
      </w:r>
      <w:r w:rsidR="00BE32A3">
        <w:t> </w:t>
      </w:r>
      <w:r w:rsidR="00EB2FD8">
        <w:t>6 Конвенции о защите прав человека и основных свобод</w:t>
      </w:r>
      <w:r w:rsidR="009E380B">
        <w:t>»</w:t>
      </w:r>
      <w:r w:rsidR="0091004B" w:rsidRPr="0091004B">
        <w:t xml:space="preserve"> </w:t>
      </w:r>
      <w:r w:rsidR="0091004B">
        <w:t>исключить</w:t>
      </w:r>
      <w:r w:rsidR="00EB2FD8" w:rsidRPr="00EB2FD8">
        <w:t>;</w:t>
      </w:r>
    </w:p>
    <w:p w:rsidR="00924266" w:rsidRPr="00924266" w:rsidRDefault="00924266" w:rsidP="00BE32A3">
      <w:pPr>
        <w:pStyle w:val="a3"/>
        <w:ind w:firstLine="709"/>
      </w:pPr>
      <w:r>
        <w:t>16) пункт 32 изложить в следующей редакции</w:t>
      </w:r>
      <w:r w:rsidRPr="00924266">
        <w:t>:</w:t>
      </w:r>
    </w:p>
    <w:p w:rsidR="00924266" w:rsidRPr="00985001" w:rsidRDefault="00924266" w:rsidP="00BE32A3">
      <w:pPr>
        <w:pStyle w:val="a3"/>
        <w:spacing w:after="120"/>
        <w:ind w:firstLine="709"/>
      </w:pPr>
      <w:r>
        <w:t>«32.</w:t>
      </w:r>
      <w:r w:rsidRPr="00924266">
        <w:rPr>
          <w:szCs w:val="28"/>
        </w:rPr>
        <w:t xml:space="preserve"> </w:t>
      </w:r>
      <w:r w:rsidRPr="00737F26">
        <w:rPr>
          <w:szCs w:val="28"/>
        </w:rPr>
        <w:t xml:space="preserve">При </w:t>
      </w:r>
      <w:r w:rsidRPr="000D7516">
        <w:rPr>
          <w:szCs w:val="28"/>
        </w:rPr>
        <w:t>рассмотрении вопросов, связанных с передачей лица, осужденного к лишению свободы, судам</w:t>
      </w:r>
      <w:r w:rsidRPr="00737F26">
        <w:rPr>
          <w:szCs w:val="28"/>
        </w:rPr>
        <w:t xml:space="preserve"> следует учитывать оставшийся к отбытию минимальный срок наказания, который предусмотрен в качестве условия передачи международным договором Российской Федерации либо </w:t>
      </w:r>
      <w:r w:rsidRPr="00737F26">
        <w:rPr>
          <w:szCs w:val="28"/>
        </w:rPr>
        <w:lastRenderedPageBreak/>
        <w:t>соглашением компетентных органов Российской Федерации и иностранного государства, если передача осуществляется на основе принципа взаимности.</w:t>
      </w:r>
      <w:r>
        <w:t>»</w:t>
      </w:r>
      <w:r w:rsidR="008608D2" w:rsidRPr="008608D2">
        <w:t>;</w:t>
      </w:r>
    </w:p>
    <w:p w:rsidR="008608D2" w:rsidRPr="008608D2" w:rsidRDefault="008608D2" w:rsidP="00FC4D27">
      <w:pPr>
        <w:pStyle w:val="a3"/>
        <w:ind w:firstLine="709"/>
      </w:pPr>
      <w:r w:rsidRPr="008608D2">
        <w:t xml:space="preserve">17) </w:t>
      </w:r>
      <w:r>
        <w:t>дополнить пунктом 32</w:t>
      </w:r>
      <w:r>
        <w:rPr>
          <w:vertAlign w:val="superscript"/>
        </w:rPr>
        <w:t xml:space="preserve">1 </w:t>
      </w:r>
      <w:r>
        <w:t>следующего содержания</w:t>
      </w:r>
      <w:r w:rsidRPr="008608D2">
        <w:t>:</w:t>
      </w:r>
    </w:p>
    <w:p w:rsidR="008608D2" w:rsidRPr="000D7516" w:rsidRDefault="008608D2" w:rsidP="00BE32A3">
      <w:pPr>
        <w:pStyle w:val="a3"/>
        <w:spacing w:after="120"/>
        <w:ind w:firstLine="709"/>
      </w:pPr>
      <w:r w:rsidRPr="000D7516">
        <w:t>«</w:t>
      </w:r>
      <w:r w:rsidR="000004E7" w:rsidRPr="000D7516">
        <w:t>32</w:t>
      </w:r>
      <w:r w:rsidR="000004E7" w:rsidRPr="000D7516">
        <w:rPr>
          <w:vertAlign w:val="superscript"/>
        </w:rPr>
        <w:t>1</w:t>
      </w:r>
      <w:r w:rsidR="000004E7" w:rsidRPr="000D7516">
        <w:t>.</w:t>
      </w:r>
      <w:r w:rsidR="000004E7" w:rsidRPr="000D7516">
        <w:rPr>
          <w:vertAlign w:val="superscript"/>
        </w:rPr>
        <w:t xml:space="preserve"> </w:t>
      </w:r>
      <w:r w:rsidRPr="000D7516">
        <w:rPr>
          <w:szCs w:val="28"/>
        </w:rPr>
        <w:t>Рекомендовать судам с учетом положений двусторонних и</w:t>
      </w:r>
      <w:r w:rsidR="007E6BCA">
        <w:rPr>
          <w:szCs w:val="28"/>
        </w:rPr>
        <w:t> </w:t>
      </w:r>
      <w:r w:rsidRPr="000D7516">
        <w:rPr>
          <w:szCs w:val="28"/>
        </w:rPr>
        <w:t>многосторонних международных договоров Российской Федерации, действующих в сфере консульских сношений (например, Венской конвенции о консульских сношениях от 24 апреля 1963 года, Консульской конвенции между Российской Федерацией и Кыргызской Республикой от 25 января 1994</w:t>
      </w:r>
      <w:r w:rsidR="00DC59E5">
        <w:rPr>
          <w:szCs w:val="28"/>
        </w:rPr>
        <w:t>  </w:t>
      </w:r>
      <w:r w:rsidRPr="000D7516">
        <w:rPr>
          <w:szCs w:val="28"/>
        </w:rPr>
        <w:t xml:space="preserve">года), в качестве дополнительной гарантии обеспечения прав и интересов осужденного к лишению свободы обсуждать вопрос о необходимости </w:t>
      </w:r>
      <w:proofErr w:type="gramStart"/>
      <w:r w:rsidR="0042048B" w:rsidRPr="00914B93">
        <w:rPr>
          <w:szCs w:val="28"/>
        </w:rPr>
        <w:t>уведомить</w:t>
      </w:r>
      <w:proofErr w:type="gramEnd"/>
      <w:r w:rsidRPr="000D7516">
        <w:rPr>
          <w:szCs w:val="28"/>
        </w:rPr>
        <w:t xml:space="preserve"> </w:t>
      </w:r>
      <w:r w:rsidR="002D29B5">
        <w:rPr>
          <w:szCs w:val="28"/>
        </w:rPr>
        <w:t xml:space="preserve">о </w:t>
      </w:r>
      <w:r w:rsidRPr="000D7516">
        <w:rPr>
          <w:szCs w:val="28"/>
        </w:rPr>
        <w:t>рассмотрении материалов о его передаче для отбывания наказания в соответствующее государство консульское учреждение (</w:t>
      </w:r>
      <w:proofErr w:type="gramStart"/>
      <w:r w:rsidRPr="000D7516">
        <w:rPr>
          <w:szCs w:val="28"/>
        </w:rPr>
        <w:t>консульский</w:t>
      </w:r>
      <w:proofErr w:type="gramEnd"/>
      <w:r w:rsidRPr="000D7516">
        <w:rPr>
          <w:szCs w:val="28"/>
        </w:rPr>
        <w:t xml:space="preserve"> отдел посольства) этого государства.</w:t>
      </w:r>
      <w:r w:rsidRPr="000D7516">
        <w:t>»</w:t>
      </w:r>
      <w:r w:rsidR="00B825C7" w:rsidRPr="000D7516">
        <w:t>;</w:t>
      </w:r>
    </w:p>
    <w:p w:rsidR="00AC2219" w:rsidRPr="00AC2219" w:rsidRDefault="00AC2219" w:rsidP="00A3706D">
      <w:pPr>
        <w:pStyle w:val="a3"/>
        <w:ind w:firstLine="709"/>
      </w:pPr>
      <w:r>
        <w:t xml:space="preserve">18) пункт </w:t>
      </w:r>
      <w:r w:rsidRPr="00AC2219">
        <w:t>36</w:t>
      </w:r>
      <w:r>
        <w:t xml:space="preserve"> изложить в следующей редакции</w:t>
      </w:r>
      <w:r w:rsidRPr="00AC2219">
        <w:t>:</w:t>
      </w:r>
    </w:p>
    <w:p w:rsidR="00A3706D" w:rsidRPr="00002DFD" w:rsidRDefault="00A3706D" w:rsidP="00A370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7516">
        <w:rPr>
          <w:szCs w:val="28"/>
        </w:rPr>
        <w:t xml:space="preserve">«36. </w:t>
      </w:r>
      <w:proofErr w:type="gramStart"/>
      <w:r w:rsidRPr="000D7516">
        <w:rPr>
          <w:szCs w:val="28"/>
        </w:rPr>
        <w:t>Принимая во внимание, в частности, положения статьи</w:t>
      </w:r>
      <w:r w:rsidR="007E6BCA">
        <w:rPr>
          <w:szCs w:val="28"/>
        </w:rPr>
        <w:t>  </w:t>
      </w:r>
      <w:r w:rsidRPr="000D7516">
        <w:rPr>
          <w:szCs w:val="28"/>
        </w:rPr>
        <w:t>12 Конвенции о передаче осужденных к лишению свободы для дальнейшего отбывания наказания,</w:t>
      </w:r>
      <w:r w:rsidRPr="00B10C99">
        <w:rPr>
          <w:b/>
          <w:szCs w:val="28"/>
        </w:rPr>
        <w:t xml:space="preserve"> </w:t>
      </w:r>
      <w:r w:rsidRPr="00B10C99">
        <w:rPr>
          <w:szCs w:val="28"/>
        </w:rPr>
        <w:t>п</w:t>
      </w:r>
      <w:r w:rsidRPr="004C534D">
        <w:rPr>
          <w:szCs w:val="28"/>
        </w:rPr>
        <w:t xml:space="preserve">од несопоставимостью условий и порядка отбывания осужденным наказания в виде лишения свободы, являющейся согласно </w:t>
      </w:r>
      <w:hyperlink r:id="rId20" w:history="1">
        <w:r w:rsidRPr="004C534D">
          <w:rPr>
            <w:szCs w:val="28"/>
          </w:rPr>
          <w:t>статье</w:t>
        </w:r>
        <w:r w:rsidR="00B165C2">
          <w:rPr>
            <w:szCs w:val="28"/>
          </w:rPr>
          <w:t> </w:t>
        </w:r>
        <w:r w:rsidRPr="004C534D">
          <w:rPr>
            <w:szCs w:val="28"/>
          </w:rPr>
          <w:t>47</w:t>
        </w:r>
        <w:r w:rsidRPr="00C713B9">
          <w:rPr>
            <w:szCs w:val="28"/>
          </w:rPr>
          <w:t>1</w:t>
        </w:r>
      </w:hyperlink>
      <w:r w:rsidRPr="004C534D">
        <w:rPr>
          <w:szCs w:val="28"/>
        </w:rPr>
        <w:t xml:space="preserve"> УПК РФ одним из </w:t>
      </w:r>
      <w:r w:rsidRPr="000D7516">
        <w:rPr>
          <w:szCs w:val="28"/>
        </w:rPr>
        <w:t>возможных</w:t>
      </w:r>
      <w:r w:rsidRPr="004C534D">
        <w:rPr>
          <w:szCs w:val="28"/>
        </w:rPr>
        <w:t xml:space="preserve"> оснований для отказа в передаче, </w:t>
      </w:r>
      <w:r w:rsidRPr="000D7516">
        <w:rPr>
          <w:szCs w:val="28"/>
        </w:rPr>
        <w:t xml:space="preserve">следует понимать лишь </w:t>
      </w:r>
      <w:r w:rsidRPr="004C534D">
        <w:rPr>
          <w:szCs w:val="28"/>
        </w:rPr>
        <w:t>такие различия в условиях и порядке отбывания наказания в государстве исполнения приговора</w:t>
      </w:r>
      <w:proofErr w:type="gramEnd"/>
      <w:r w:rsidRPr="004C534D">
        <w:rPr>
          <w:szCs w:val="28"/>
        </w:rPr>
        <w:t xml:space="preserve"> и в Российской Федерации, которые не позволяют достигнуть цели наказания </w:t>
      </w:r>
      <w:r w:rsidR="0091593C">
        <w:rPr>
          <w:szCs w:val="28"/>
        </w:rPr>
        <w:t>–</w:t>
      </w:r>
      <w:r w:rsidRPr="004C534D">
        <w:rPr>
          <w:szCs w:val="28"/>
        </w:rPr>
        <w:t xml:space="preserve"> восстановления социальной справедливости, исправления осужденного и предупреждения новых преступлений (</w:t>
      </w:r>
      <w:hyperlink r:id="rId21" w:history="1">
        <w:r w:rsidRPr="004C534D">
          <w:rPr>
            <w:szCs w:val="28"/>
          </w:rPr>
          <w:t>статья 43</w:t>
        </w:r>
      </w:hyperlink>
      <w:r w:rsidRPr="004C534D">
        <w:rPr>
          <w:szCs w:val="28"/>
        </w:rPr>
        <w:t xml:space="preserve"> УК РФ</w:t>
      </w:r>
      <w:r w:rsidR="0091593C">
        <w:rPr>
          <w:szCs w:val="28"/>
        </w:rPr>
        <w:t>)</w:t>
      </w:r>
      <w:r w:rsidR="00AC3456">
        <w:rPr>
          <w:szCs w:val="28"/>
        </w:rPr>
        <w:t xml:space="preserve"> </w:t>
      </w:r>
      <w:r w:rsidR="00424576">
        <w:rPr>
          <w:szCs w:val="28"/>
        </w:rPr>
        <w:t xml:space="preserve">– </w:t>
      </w:r>
      <w:r w:rsidRPr="00002DFD">
        <w:rPr>
          <w:szCs w:val="28"/>
        </w:rPr>
        <w:t xml:space="preserve">и не обеспечивают продолжение отбывания наказания в соответствии с законодательством государства исполнения приговора, не ухудшая </w:t>
      </w:r>
      <w:r w:rsidRPr="00914B93">
        <w:rPr>
          <w:szCs w:val="28"/>
        </w:rPr>
        <w:t>положени</w:t>
      </w:r>
      <w:r w:rsidR="00914B93" w:rsidRPr="00914B93">
        <w:rPr>
          <w:szCs w:val="28"/>
        </w:rPr>
        <w:t>е</w:t>
      </w:r>
      <w:r w:rsidRPr="00002DFD">
        <w:rPr>
          <w:szCs w:val="28"/>
        </w:rPr>
        <w:t xml:space="preserve"> осужденного.</w:t>
      </w:r>
    </w:p>
    <w:p w:rsidR="00AC2219" w:rsidRPr="00002DFD" w:rsidRDefault="00A3706D" w:rsidP="00BE32A3">
      <w:pPr>
        <w:pStyle w:val="a3"/>
        <w:spacing w:after="120"/>
        <w:ind w:firstLine="709"/>
        <w:rPr>
          <w:szCs w:val="28"/>
        </w:rPr>
      </w:pPr>
      <w:r w:rsidRPr="004C534D">
        <w:rPr>
          <w:szCs w:val="28"/>
        </w:rPr>
        <w:t>Суду в каждом конкретном случае необходимо устанавливать обстоятельства, связанные с порядком и условиями отбывания наказания в государстве исполнения приговора. При этом отсутствие в иностранном государстве определенного вида исправительного учреждения, назначенного осужденному по приговору суда Российской Федерации</w:t>
      </w:r>
      <w:r w:rsidRPr="00002DFD">
        <w:rPr>
          <w:szCs w:val="28"/>
        </w:rPr>
        <w:t>, а также различия, например, в правилах зачета срока</w:t>
      </w:r>
      <w:r w:rsidRPr="00002DFD">
        <w:rPr>
          <w:color w:val="0070C0"/>
          <w:szCs w:val="28"/>
        </w:rPr>
        <w:t xml:space="preserve"> </w:t>
      </w:r>
      <w:r w:rsidRPr="00002DFD">
        <w:rPr>
          <w:szCs w:val="28"/>
        </w:rPr>
        <w:t>применения меры пресечения в срок наказания, порядке условно-досрочного освобождения от отбывания наказания, количестве краткосрочных и длительных свиданий, возможных посылок, передач и бандеролей</w:t>
      </w:r>
      <w:r w:rsidRPr="00914B93">
        <w:rPr>
          <w:szCs w:val="28"/>
        </w:rPr>
        <w:t>, предусмотренны</w:t>
      </w:r>
      <w:r w:rsidR="00914B93">
        <w:rPr>
          <w:szCs w:val="28"/>
        </w:rPr>
        <w:t>х</w:t>
      </w:r>
      <w:r w:rsidRPr="00002DFD">
        <w:rPr>
          <w:szCs w:val="28"/>
        </w:rPr>
        <w:t xml:space="preserve"> законодательством Российской Федерации и государства исполнения приговора при отбывании лишения свободы в исправительных учреждениях различных видов (режимов), не должны признаваться основаниями для отказа в передаче.</w:t>
      </w:r>
      <w:r w:rsidR="00B825C7" w:rsidRPr="00002DFD">
        <w:rPr>
          <w:szCs w:val="28"/>
        </w:rPr>
        <w:t>»;</w:t>
      </w:r>
    </w:p>
    <w:p w:rsidR="00B825C7" w:rsidRPr="00985001" w:rsidRDefault="00F52267" w:rsidP="00944299">
      <w:pPr>
        <w:pStyle w:val="a3"/>
        <w:spacing w:after="120"/>
        <w:ind w:firstLine="709"/>
      </w:pPr>
      <w:r w:rsidRPr="00F52267">
        <w:t xml:space="preserve">19) </w:t>
      </w:r>
      <w:r w:rsidR="000004E7">
        <w:t>в</w:t>
      </w:r>
      <w:r>
        <w:t xml:space="preserve"> пункт</w:t>
      </w:r>
      <w:r w:rsidR="000004E7">
        <w:t>е</w:t>
      </w:r>
      <w:r>
        <w:t xml:space="preserve"> 37 предложение</w:t>
      </w:r>
      <w:r w:rsidR="00626268">
        <w:t xml:space="preserve"> «Предельный срок лишения свободы, предусмотренный законодательством государства исполнения приговора, не должен быть явно несопоставим со сроком наказания, назначенным по приговору суда Российской Федерации</w:t>
      </w:r>
      <w:r w:rsidR="00B10DF9">
        <w:t>.</w:t>
      </w:r>
      <w:r w:rsidR="00626268">
        <w:t>»</w:t>
      </w:r>
      <w:r w:rsidR="000004E7" w:rsidRPr="000004E7">
        <w:t xml:space="preserve"> </w:t>
      </w:r>
      <w:r w:rsidR="000004E7">
        <w:t>исключить</w:t>
      </w:r>
      <w:r w:rsidR="00985001" w:rsidRPr="00985001">
        <w:t>;</w:t>
      </w:r>
    </w:p>
    <w:p w:rsidR="006929C5" w:rsidRDefault="00985001" w:rsidP="00525AD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lastRenderedPageBreak/>
        <w:t xml:space="preserve">20) приложение </w:t>
      </w:r>
      <w:r w:rsidRPr="004C534D">
        <w:rPr>
          <w:szCs w:val="28"/>
        </w:rPr>
        <w:t xml:space="preserve">к Постановлению Пленума Верховного Суда Российской Федерации от 14 июня 2012 года </w:t>
      </w:r>
      <w:r w:rsidR="00146222" w:rsidRPr="004C534D">
        <w:rPr>
          <w:szCs w:val="28"/>
        </w:rPr>
        <w:t>№</w:t>
      </w:r>
      <w:r w:rsidR="00146222">
        <w:rPr>
          <w:szCs w:val="28"/>
        </w:rPr>
        <w:t>  </w:t>
      </w:r>
      <w:r w:rsidR="00146222" w:rsidRPr="004C534D">
        <w:rPr>
          <w:szCs w:val="28"/>
        </w:rPr>
        <w:t xml:space="preserve">11 </w:t>
      </w:r>
      <w:r w:rsidRPr="004C534D">
        <w:rPr>
          <w:szCs w:val="28"/>
        </w:rPr>
        <w:t>«О практике рассмотрения судами вопросов, связанных с выдачей лиц для уголовного преследования или исполнения приговора, а также передачей лиц для отбывания наказания»</w:t>
      </w:r>
      <w:r w:rsidRPr="004C534D">
        <w:rPr>
          <w:b/>
          <w:szCs w:val="28"/>
        </w:rPr>
        <w:t xml:space="preserve"> </w:t>
      </w:r>
      <w:r>
        <w:rPr>
          <w:szCs w:val="28"/>
        </w:rPr>
        <w:t>и</w:t>
      </w:r>
      <w:r w:rsidRPr="00985001">
        <w:rPr>
          <w:szCs w:val="28"/>
        </w:rPr>
        <w:t>сключить</w:t>
      </w:r>
      <w:r>
        <w:rPr>
          <w:szCs w:val="28"/>
        </w:rPr>
        <w:t>.</w:t>
      </w:r>
    </w:p>
    <w:p w:rsidR="00B165C2" w:rsidRDefault="00B165C2" w:rsidP="00525AD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14F13" w:rsidRDefault="00C35BDF" w:rsidP="006929C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t xml:space="preserve">2. </w:t>
      </w:r>
      <w:r>
        <w:rPr>
          <w:szCs w:val="28"/>
        </w:rPr>
        <w:t>П</w:t>
      </w:r>
      <w:r w:rsidRPr="00D60243">
        <w:rPr>
          <w:szCs w:val="28"/>
        </w:rPr>
        <w:t xml:space="preserve">остановление Пленума Верховного Суда Российской Федерации </w:t>
      </w:r>
      <w:r w:rsidRPr="00F676A3">
        <w:rPr>
          <w:szCs w:val="28"/>
        </w:rPr>
        <w:t>от</w:t>
      </w:r>
      <w:r w:rsidR="00F676A3" w:rsidRPr="00F676A3">
        <w:rPr>
          <w:i/>
          <w:szCs w:val="28"/>
          <w:lang w:val="en-US"/>
        </w:rPr>
        <w:t> </w:t>
      </w:r>
      <w:r w:rsidRPr="00F676A3">
        <w:rPr>
          <w:szCs w:val="28"/>
        </w:rPr>
        <w:t xml:space="preserve">27 </w:t>
      </w:r>
      <w:r w:rsidRPr="00D60243">
        <w:rPr>
          <w:szCs w:val="28"/>
        </w:rPr>
        <w:t>июня 2023 г</w:t>
      </w:r>
      <w:r>
        <w:rPr>
          <w:szCs w:val="28"/>
        </w:rPr>
        <w:t>ода</w:t>
      </w:r>
      <w:r w:rsidRPr="00D60243">
        <w:rPr>
          <w:szCs w:val="28"/>
        </w:rPr>
        <w:t xml:space="preserve"> № 22</w:t>
      </w:r>
      <w:r>
        <w:rPr>
          <w:szCs w:val="28"/>
        </w:rPr>
        <w:t xml:space="preserve"> </w:t>
      </w:r>
      <w:r w:rsidRPr="00D60243">
        <w:rPr>
          <w:szCs w:val="28"/>
        </w:rPr>
        <w:t>«О применении судами норм Уголовно-процессуального кодекса Российской Федерации, регламентирующих подсудность уголовного дела»</w:t>
      </w:r>
      <w:r>
        <w:rPr>
          <w:szCs w:val="28"/>
        </w:rPr>
        <w:t xml:space="preserve"> дополнить пунктами 18 и 19 </w:t>
      </w:r>
      <w:r w:rsidR="00502382">
        <w:rPr>
          <w:szCs w:val="28"/>
        </w:rPr>
        <w:t>следующего содержания:</w:t>
      </w:r>
    </w:p>
    <w:p w:rsidR="005D3F96" w:rsidRPr="00CA1ABC" w:rsidRDefault="005D3F96" w:rsidP="005D3F96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C35BDF" w:rsidRDefault="00C35BDF" w:rsidP="005D3F96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FF3935">
        <w:rPr>
          <w:rFonts w:eastAsia="Calibri"/>
          <w:szCs w:val="28"/>
        </w:rPr>
        <w:t xml:space="preserve">«18. </w:t>
      </w:r>
      <w:proofErr w:type="gramStart"/>
      <w:r w:rsidRPr="00FF3935">
        <w:rPr>
          <w:rFonts w:eastAsia="Calibri"/>
          <w:szCs w:val="28"/>
        </w:rPr>
        <w:t xml:space="preserve">Согласно требованиям </w:t>
      </w:r>
      <w:hyperlink r:id="rId22" w:history="1">
        <w:r w:rsidRPr="00FF3935">
          <w:rPr>
            <w:rFonts w:eastAsia="Calibri"/>
            <w:szCs w:val="28"/>
          </w:rPr>
          <w:t>части 3 статьи 389</w:t>
        </w:r>
      </w:hyperlink>
      <w:r w:rsidRPr="00FF3935">
        <w:rPr>
          <w:rFonts w:eastAsia="Calibri"/>
          <w:szCs w:val="28"/>
          <w:vertAlign w:val="superscript"/>
        </w:rPr>
        <w:t>2</w:t>
      </w:r>
      <w:r w:rsidRPr="00FF3935">
        <w:rPr>
          <w:rFonts w:eastAsia="Calibri"/>
          <w:szCs w:val="28"/>
        </w:rPr>
        <w:t xml:space="preserve"> и </w:t>
      </w:r>
      <w:hyperlink r:id="rId23" w:history="1">
        <w:r w:rsidRPr="00FF3935">
          <w:rPr>
            <w:rFonts w:eastAsia="Calibri"/>
            <w:szCs w:val="28"/>
          </w:rPr>
          <w:t>части 1 статьи</w:t>
        </w:r>
        <w:r w:rsidR="00B165C2">
          <w:rPr>
            <w:rFonts w:eastAsia="Calibri"/>
            <w:szCs w:val="28"/>
          </w:rPr>
          <w:t> </w:t>
        </w:r>
        <w:r w:rsidRPr="00FF3935">
          <w:rPr>
            <w:rFonts w:eastAsia="Calibri"/>
            <w:szCs w:val="28"/>
          </w:rPr>
          <w:t>391</w:t>
        </w:r>
      </w:hyperlink>
      <w:r w:rsidRPr="00FF3935">
        <w:rPr>
          <w:szCs w:val="28"/>
        </w:rPr>
        <w:t xml:space="preserve"> </w:t>
      </w:r>
      <w:r w:rsidRPr="00FF3935">
        <w:rPr>
          <w:rFonts w:eastAsia="Calibri"/>
          <w:szCs w:val="28"/>
        </w:rPr>
        <w:t>УПК</w:t>
      </w:r>
      <w:r w:rsidR="00B165C2">
        <w:rPr>
          <w:rFonts w:eastAsia="Calibri"/>
          <w:szCs w:val="28"/>
        </w:rPr>
        <w:t> </w:t>
      </w:r>
      <w:r w:rsidRPr="00FF3935">
        <w:rPr>
          <w:rFonts w:eastAsia="Calibri"/>
          <w:szCs w:val="28"/>
        </w:rPr>
        <w:t>РФ постановление судьи вышестоящего суда об удовлетворении ходатайства (представления) об изменении территориальной подсудности может быть обжаловано в апелляционном порядке до вынесения итогового судебного решения по делу, а уголовное дело подлежит направлению в соответствующий суд только после вступления указанного постановления в законную силу.</w:t>
      </w:r>
      <w:proofErr w:type="gramEnd"/>
    </w:p>
    <w:p w:rsidR="00C35BDF" w:rsidRPr="00FF3935" w:rsidRDefault="00C35BDF" w:rsidP="005D3F9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FF3935">
        <w:rPr>
          <w:rFonts w:eastAsia="Calibri"/>
          <w:bCs/>
          <w:szCs w:val="28"/>
        </w:rPr>
        <w:t xml:space="preserve">19. </w:t>
      </w:r>
      <w:proofErr w:type="gramStart"/>
      <w:r>
        <w:rPr>
          <w:rFonts w:eastAsia="Calibri"/>
          <w:bCs/>
          <w:szCs w:val="28"/>
        </w:rPr>
        <w:t>Р</w:t>
      </w:r>
      <w:r w:rsidRPr="00FF3935">
        <w:rPr>
          <w:szCs w:val="28"/>
        </w:rPr>
        <w:t xml:space="preserve">ешение судьи (суда) </w:t>
      </w:r>
      <w:r w:rsidRPr="00FF3935">
        <w:rPr>
          <w:rFonts w:eastAsia="Calibri"/>
          <w:szCs w:val="28"/>
        </w:rPr>
        <w:t>об отказе в удовлетворении ходатайства о</w:t>
      </w:r>
      <w:r w:rsidR="00944299">
        <w:rPr>
          <w:rFonts w:eastAsia="Calibri"/>
          <w:szCs w:val="28"/>
        </w:rPr>
        <w:t> </w:t>
      </w:r>
      <w:r w:rsidRPr="00FF3935">
        <w:rPr>
          <w:rFonts w:eastAsia="Calibri"/>
          <w:szCs w:val="28"/>
        </w:rPr>
        <w:t xml:space="preserve">передаче уголовного дела по подсудности, заявленного стороной на основании статьи 34 УПК РФ, а также </w:t>
      </w:r>
      <w:r w:rsidRPr="00FF3935">
        <w:rPr>
          <w:szCs w:val="28"/>
        </w:rPr>
        <w:t>постановление судьи вышестоящего суда об отказе в удовлетворении ходатайства об изменении территориальной подсудности дела (части 1</w:t>
      </w:r>
      <w:r w:rsidR="0091004B" w:rsidRPr="00E65A22">
        <w:rPr>
          <w:b/>
          <w:szCs w:val="28"/>
        </w:rPr>
        <w:t>–</w:t>
      </w:r>
      <w:r w:rsidRPr="00FF3935">
        <w:rPr>
          <w:szCs w:val="28"/>
        </w:rPr>
        <w:t xml:space="preserve">3 статьи 35 УПК РФ) не влекут </w:t>
      </w:r>
      <w:r w:rsidRPr="00CA1ABC">
        <w:rPr>
          <w:szCs w:val="28"/>
        </w:rPr>
        <w:t>последстви</w:t>
      </w:r>
      <w:r w:rsidR="00CA1ABC" w:rsidRPr="00CA1ABC">
        <w:rPr>
          <w:szCs w:val="28"/>
        </w:rPr>
        <w:t>й</w:t>
      </w:r>
      <w:r w:rsidRPr="00CA1ABC">
        <w:rPr>
          <w:szCs w:val="28"/>
        </w:rPr>
        <w:t>, выходящи</w:t>
      </w:r>
      <w:r w:rsidR="00CA1ABC" w:rsidRPr="00CA1ABC">
        <w:rPr>
          <w:szCs w:val="28"/>
        </w:rPr>
        <w:t>х</w:t>
      </w:r>
      <w:r w:rsidRPr="00FF3935">
        <w:rPr>
          <w:szCs w:val="28"/>
        </w:rPr>
        <w:t xml:space="preserve"> за рамки собственно уголовно-процессуальных отношений, не ограничивают </w:t>
      </w:r>
      <w:r w:rsidRPr="00FF3935">
        <w:rPr>
          <w:rFonts w:eastAsia="Calibri"/>
          <w:szCs w:val="28"/>
        </w:rPr>
        <w:t>конституционные</w:t>
      </w:r>
      <w:r w:rsidRPr="00FF3935">
        <w:rPr>
          <w:szCs w:val="28"/>
        </w:rPr>
        <w:t xml:space="preserve"> права и свободы личности</w:t>
      </w:r>
      <w:proofErr w:type="gramEnd"/>
      <w:r w:rsidRPr="00FF3935">
        <w:rPr>
          <w:szCs w:val="28"/>
        </w:rPr>
        <w:t xml:space="preserve"> и не причиняют им вред, восполнение которого в дальнейшем может оказаться невозможным, а потому </w:t>
      </w:r>
      <w:r w:rsidRPr="00FF3935">
        <w:rPr>
          <w:rFonts w:eastAsia="Calibri"/>
          <w:bCs/>
          <w:szCs w:val="28"/>
        </w:rPr>
        <w:t xml:space="preserve">не требуют безотлагательной проверки вышестоящим судом. </w:t>
      </w:r>
      <w:proofErr w:type="gramStart"/>
      <w:r w:rsidRPr="00FF3935">
        <w:rPr>
          <w:rFonts w:eastAsia="Calibri"/>
          <w:bCs/>
          <w:szCs w:val="28"/>
        </w:rPr>
        <w:t xml:space="preserve">Исходя из этого и </w:t>
      </w:r>
      <w:r w:rsidRPr="00FF3935">
        <w:rPr>
          <w:szCs w:val="28"/>
        </w:rPr>
        <w:t>по смыслу взаимосвязанных положений частей</w:t>
      </w:r>
      <w:r w:rsidR="00146222">
        <w:rPr>
          <w:szCs w:val="28"/>
        </w:rPr>
        <w:t> </w:t>
      </w:r>
      <w:r w:rsidR="00525AD3">
        <w:rPr>
          <w:szCs w:val="28"/>
        </w:rPr>
        <w:t> </w:t>
      </w:r>
      <w:r w:rsidRPr="00FF3935">
        <w:rPr>
          <w:szCs w:val="28"/>
        </w:rPr>
        <w:t>2</w:t>
      </w:r>
      <w:r w:rsidR="00525AD3">
        <w:rPr>
          <w:szCs w:val="28"/>
        </w:rPr>
        <w:t> </w:t>
      </w:r>
      <w:r w:rsidRPr="00FF3935">
        <w:rPr>
          <w:szCs w:val="28"/>
        </w:rPr>
        <w:t>и</w:t>
      </w:r>
      <w:r w:rsidR="00525AD3">
        <w:rPr>
          <w:szCs w:val="28"/>
        </w:rPr>
        <w:t> </w:t>
      </w:r>
      <w:r w:rsidRPr="00FF3935">
        <w:rPr>
          <w:szCs w:val="28"/>
        </w:rPr>
        <w:t>3 статьи 389</w:t>
      </w:r>
      <w:r w:rsidRPr="00FF3935">
        <w:rPr>
          <w:szCs w:val="28"/>
          <w:vertAlign w:val="superscript"/>
        </w:rPr>
        <w:t>2</w:t>
      </w:r>
      <w:r w:rsidRPr="00FF3935">
        <w:rPr>
          <w:szCs w:val="28"/>
        </w:rPr>
        <w:t xml:space="preserve"> У</w:t>
      </w:r>
      <w:r w:rsidRPr="00FF3935">
        <w:rPr>
          <w:rFonts w:eastAsia="Calibri"/>
          <w:szCs w:val="28"/>
        </w:rPr>
        <w:t>ПК РФ</w:t>
      </w:r>
      <w:r w:rsidRPr="00FF3935">
        <w:rPr>
          <w:szCs w:val="28"/>
        </w:rPr>
        <w:t xml:space="preserve"> такие промежуточные судебные решения </w:t>
      </w:r>
      <w:r w:rsidRPr="00FF3935">
        <w:rPr>
          <w:rFonts w:eastAsia="Calibri"/>
          <w:bCs/>
          <w:szCs w:val="28"/>
        </w:rPr>
        <w:t xml:space="preserve">самостоятельному </w:t>
      </w:r>
      <w:r w:rsidRPr="00FF3935">
        <w:rPr>
          <w:rFonts w:eastAsia="Calibri"/>
          <w:bCs/>
          <w:szCs w:val="28"/>
          <w:lang w:eastAsia="en-US"/>
        </w:rPr>
        <w:t>обжалованию не подлежат</w:t>
      </w:r>
      <w:proofErr w:type="gramEnd"/>
      <w:r w:rsidRPr="00FF3935">
        <w:rPr>
          <w:rFonts w:eastAsia="Calibri"/>
          <w:bCs/>
          <w:szCs w:val="28"/>
          <w:lang w:eastAsia="en-US"/>
        </w:rPr>
        <w:t xml:space="preserve">. </w:t>
      </w:r>
      <w:r w:rsidRPr="00FF3935">
        <w:rPr>
          <w:rFonts w:eastAsia="Calibri"/>
          <w:szCs w:val="28"/>
        </w:rPr>
        <w:t>Вместе с тем вопрос о законности состава суда в указанных случаях может быть поставлен сторонами при обжаловании итогового судебного решения по делу.</w:t>
      </w:r>
      <w:r w:rsidRPr="00FF3935">
        <w:rPr>
          <w:rFonts w:eastAsia="Calibri"/>
          <w:bCs/>
          <w:szCs w:val="28"/>
          <w:lang w:eastAsia="en-US"/>
        </w:rPr>
        <w:t>»</w:t>
      </w:r>
      <w:r w:rsidR="00B0126A">
        <w:rPr>
          <w:rFonts w:eastAsia="Calibri"/>
          <w:bCs/>
          <w:szCs w:val="28"/>
          <w:lang w:eastAsia="en-US"/>
        </w:rPr>
        <w:t>.</w:t>
      </w:r>
    </w:p>
    <w:p w:rsidR="00EB768B" w:rsidRDefault="00EB768B" w:rsidP="00006EFF">
      <w:pPr>
        <w:pStyle w:val="31"/>
        <w:ind w:left="0" w:firstLine="709"/>
        <w:rPr>
          <w:u w:val="none"/>
        </w:rPr>
      </w:pPr>
    </w:p>
    <w:p w:rsidR="00B165C2" w:rsidRDefault="00B165C2" w:rsidP="00006EFF">
      <w:pPr>
        <w:pStyle w:val="31"/>
        <w:ind w:left="0" w:firstLine="709"/>
        <w:rPr>
          <w:u w:val="none"/>
        </w:rPr>
      </w:pPr>
    </w:p>
    <w:p w:rsidR="00EB768B" w:rsidRDefault="00EB768B" w:rsidP="00006EFF">
      <w:pPr>
        <w:pStyle w:val="31"/>
        <w:ind w:left="0" w:firstLine="709"/>
        <w:rPr>
          <w:u w:val="none"/>
        </w:rPr>
      </w:pPr>
    </w:p>
    <w:tbl>
      <w:tblPr>
        <w:tblW w:w="0" w:type="auto"/>
        <w:tblLook w:val="0000"/>
      </w:tblPr>
      <w:tblGrid>
        <w:gridCol w:w="4792"/>
        <w:gridCol w:w="4778"/>
      </w:tblGrid>
      <w:tr w:rsidR="00006EFF" w:rsidTr="00A66504">
        <w:tc>
          <w:tcPr>
            <w:tcW w:w="4926" w:type="dxa"/>
          </w:tcPr>
          <w:p w:rsidR="00006EFF" w:rsidRDefault="00006EFF" w:rsidP="00A66504">
            <w:pPr>
              <w:shd w:val="clear" w:color="auto" w:fill="FFFFFF"/>
            </w:pPr>
            <w:r>
              <w:t>Председатель Верховного Суда</w:t>
            </w:r>
          </w:p>
          <w:p w:rsidR="00006EFF" w:rsidRDefault="00006EFF" w:rsidP="00A66504">
            <w:pPr>
              <w:pStyle w:val="31"/>
              <w:ind w:left="0" w:firstLine="0"/>
              <w:jc w:val="left"/>
              <w:rPr>
                <w:u w:val="none"/>
              </w:rPr>
            </w:pPr>
            <w:r>
              <w:rPr>
                <w:u w:val="none"/>
              </w:rPr>
              <w:t>Российской Федерации</w:t>
            </w:r>
          </w:p>
        </w:tc>
        <w:tc>
          <w:tcPr>
            <w:tcW w:w="4927" w:type="dxa"/>
          </w:tcPr>
          <w:p w:rsidR="00006EFF" w:rsidRDefault="00006EFF" w:rsidP="00A66504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:rsidR="00006EFF" w:rsidRDefault="003F001B" w:rsidP="003F001B">
            <w:pPr>
              <w:pStyle w:val="31"/>
              <w:ind w:left="0" w:firstLine="0"/>
              <w:jc w:val="right"/>
              <w:rPr>
                <w:u w:val="none"/>
              </w:rPr>
            </w:pPr>
            <w:r>
              <w:rPr>
                <w:u w:val="none"/>
              </w:rPr>
              <w:t>И</w:t>
            </w:r>
            <w:r w:rsidR="00006EFF">
              <w:rPr>
                <w:u w:val="none"/>
              </w:rPr>
              <w:t>.</w:t>
            </w:r>
            <w:r>
              <w:rPr>
                <w:u w:val="none"/>
              </w:rPr>
              <w:t>Л</w:t>
            </w:r>
            <w:r w:rsidR="00006EFF">
              <w:rPr>
                <w:u w:val="none"/>
              </w:rPr>
              <w:t>.</w:t>
            </w:r>
            <w:r>
              <w:rPr>
                <w:u w:val="none"/>
              </w:rPr>
              <w:t xml:space="preserve"> Подносова</w:t>
            </w:r>
          </w:p>
        </w:tc>
      </w:tr>
      <w:tr w:rsidR="00006EFF" w:rsidTr="00A66504">
        <w:tc>
          <w:tcPr>
            <w:tcW w:w="4926" w:type="dxa"/>
          </w:tcPr>
          <w:p w:rsidR="00006EFF" w:rsidRDefault="00006EFF" w:rsidP="00A66504">
            <w:pPr>
              <w:shd w:val="clear" w:color="auto" w:fill="FFFFFF"/>
            </w:pPr>
          </w:p>
          <w:p w:rsidR="00B165C2" w:rsidRDefault="00B165C2" w:rsidP="00A66504">
            <w:pPr>
              <w:shd w:val="clear" w:color="auto" w:fill="FFFFFF"/>
            </w:pPr>
          </w:p>
        </w:tc>
        <w:tc>
          <w:tcPr>
            <w:tcW w:w="4927" w:type="dxa"/>
          </w:tcPr>
          <w:p w:rsidR="00006EFF" w:rsidRDefault="00006EFF" w:rsidP="00A66504">
            <w:pPr>
              <w:pStyle w:val="31"/>
              <w:ind w:left="0" w:firstLine="0"/>
              <w:jc w:val="right"/>
              <w:rPr>
                <w:u w:val="none"/>
              </w:rPr>
            </w:pPr>
          </w:p>
        </w:tc>
      </w:tr>
      <w:tr w:rsidR="00006EFF" w:rsidTr="00A66504">
        <w:tc>
          <w:tcPr>
            <w:tcW w:w="4926" w:type="dxa"/>
          </w:tcPr>
          <w:p w:rsidR="00006EFF" w:rsidRDefault="00006EFF" w:rsidP="00A66504">
            <w:pPr>
              <w:shd w:val="clear" w:color="auto" w:fill="FFFFFF"/>
            </w:pPr>
            <w:r>
              <w:t>Секретарь Пленума,</w:t>
            </w:r>
          </w:p>
          <w:p w:rsidR="00006EFF" w:rsidRDefault="00006EFF" w:rsidP="00A66504">
            <w:pPr>
              <w:shd w:val="clear" w:color="auto" w:fill="FFFFFF"/>
            </w:pPr>
            <w:r>
              <w:t>судья Верховного Суда</w:t>
            </w:r>
          </w:p>
          <w:p w:rsidR="00006EFF" w:rsidRDefault="00006EFF" w:rsidP="00A66504">
            <w:pPr>
              <w:pStyle w:val="31"/>
              <w:ind w:left="0" w:firstLine="0"/>
              <w:jc w:val="left"/>
              <w:rPr>
                <w:u w:val="none"/>
              </w:rPr>
            </w:pPr>
            <w:r>
              <w:rPr>
                <w:u w:val="none"/>
              </w:rPr>
              <w:t>Российской Федерации</w:t>
            </w:r>
          </w:p>
        </w:tc>
        <w:tc>
          <w:tcPr>
            <w:tcW w:w="4927" w:type="dxa"/>
          </w:tcPr>
          <w:p w:rsidR="00006EFF" w:rsidRDefault="00006EFF" w:rsidP="00A66504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:rsidR="00006EFF" w:rsidRDefault="00006EFF" w:rsidP="00A66504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:rsidR="00006EFF" w:rsidRDefault="00006EFF" w:rsidP="00A66504">
            <w:pPr>
              <w:pStyle w:val="31"/>
              <w:ind w:left="0" w:firstLine="0"/>
              <w:jc w:val="right"/>
              <w:rPr>
                <w:u w:val="none"/>
              </w:rPr>
            </w:pPr>
            <w:r>
              <w:rPr>
                <w:u w:val="none"/>
              </w:rPr>
              <w:t>В.В. Момотов</w:t>
            </w:r>
          </w:p>
        </w:tc>
      </w:tr>
    </w:tbl>
    <w:p w:rsidR="00006EFF" w:rsidRDefault="00006EFF" w:rsidP="003F001B">
      <w:pPr>
        <w:pStyle w:val="31"/>
        <w:ind w:left="0" w:firstLine="709"/>
      </w:pPr>
    </w:p>
    <w:sectPr w:rsidR="00006EFF" w:rsidSect="00944299">
      <w:headerReference w:type="even" r:id="rId24"/>
      <w:headerReference w:type="default" r:id="rId25"/>
      <w:footerReference w:type="even" r:id="rId26"/>
      <w:pgSz w:w="11906" w:h="16838"/>
      <w:pgMar w:top="956" w:right="851" w:bottom="851" w:left="1701" w:header="426" w:footer="2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59" w:rsidRDefault="00EF3C59" w:rsidP="0071567E">
      <w:r>
        <w:separator/>
      </w:r>
    </w:p>
  </w:endnote>
  <w:endnote w:type="continuationSeparator" w:id="0">
    <w:p w:rsidR="00EF3C59" w:rsidRDefault="00EF3C59" w:rsidP="0071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7E" w:rsidRDefault="00E01E7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665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6504">
      <w:rPr>
        <w:rStyle w:val="a9"/>
      </w:rPr>
      <w:t>1</w:t>
    </w:r>
    <w:r>
      <w:rPr>
        <w:rStyle w:val="a9"/>
      </w:rPr>
      <w:fldChar w:fldCharType="end"/>
    </w:r>
  </w:p>
  <w:p w:rsidR="0071567E" w:rsidRDefault="007156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59" w:rsidRDefault="00EF3C59" w:rsidP="0071567E">
      <w:r>
        <w:separator/>
      </w:r>
    </w:p>
  </w:footnote>
  <w:footnote w:type="continuationSeparator" w:id="0">
    <w:p w:rsidR="00EF3C59" w:rsidRDefault="00EF3C59" w:rsidP="00715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7E" w:rsidRDefault="00E01E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65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6504">
      <w:rPr>
        <w:rStyle w:val="a9"/>
      </w:rPr>
      <w:t>1</w:t>
    </w:r>
    <w:r>
      <w:rPr>
        <w:rStyle w:val="a9"/>
      </w:rPr>
      <w:fldChar w:fldCharType="end"/>
    </w:r>
  </w:p>
  <w:p w:rsidR="0071567E" w:rsidRDefault="0071567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7E" w:rsidRDefault="00E01E71" w:rsidP="005E2E5C">
    <w:pPr>
      <w:pStyle w:val="a7"/>
      <w:spacing w:after="280"/>
      <w:jc w:val="center"/>
    </w:pPr>
    <w:r>
      <w:rPr>
        <w:rStyle w:val="a9"/>
      </w:rPr>
      <w:fldChar w:fldCharType="begin"/>
    </w:r>
    <w:r w:rsidR="00A665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79C0">
      <w:rPr>
        <w:rStyle w:val="a9"/>
        <w:noProof/>
      </w:rPr>
      <w:t>5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310D"/>
    <w:multiLevelType w:val="hybridMultilevel"/>
    <w:tmpl w:val="504E307C"/>
    <w:lvl w:ilvl="0" w:tplc="14E04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3A2ABA"/>
    <w:multiLevelType w:val="hybridMultilevel"/>
    <w:tmpl w:val="6616C208"/>
    <w:lvl w:ilvl="0" w:tplc="000C35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7C7008"/>
    <w:multiLevelType w:val="hybridMultilevel"/>
    <w:tmpl w:val="A2204C98"/>
    <w:lvl w:ilvl="0" w:tplc="99DAB4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400351"/>
    <w:multiLevelType w:val="hybridMultilevel"/>
    <w:tmpl w:val="33D86FBA"/>
    <w:lvl w:ilvl="0" w:tplc="2320F0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06EFF"/>
    <w:rsid w:val="000004E7"/>
    <w:rsid w:val="00002DFD"/>
    <w:rsid w:val="00006EFF"/>
    <w:rsid w:val="00014E0F"/>
    <w:rsid w:val="00037BCB"/>
    <w:rsid w:val="00043FDB"/>
    <w:rsid w:val="00044D81"/>
    <w:rsid w:val="0004631F"/>
    <w:rsid w:val="0004690D"/>
    <w:rsid w:val="00046EDC"/>
    <w:rsid w:val="00065888"/>
    <w:rsid w:val="0007028E"/>
    <w:rsid w:val="00093F19"/>
    <w:rsid w:val="000B21AD"/>
    <w:rsid w:val="000C54A9"/>
    <w:rsid w:val="000C6310"/>
    <w:rsid w:val="000D2A7C"/>
    <w:rsid w:val="000D41EF"/>
    <w:rsid w:val="000D7516"/>
    <w:rsid w:val="000F14F3"/>
    <w:rsid w:val="000F542A"/>
    <w:rsid w:val="0010067B"/>
    <w:rsid w:val="00131A33"/>
    <w:rsid w:val="00133A3B"/>
    <w:rsid w:val="0013423F"/>
    <w:rsid w:val="00146222"/>
    <w:rsid w:val="0015765C"/>
    <w:rsid w:val="00172BBF"/>
    <w:rsid w:val="001756A2"/>
    <w:rsid w:val="0019553B"/>
    <w:rsid w:val="001A2102"/>
    <w:rsid w:val="001B157B"/>
    <w:rsid w:val="001B314D"/>
    <w:rsid w:val="001B524D"/>
    <w:rsid w:val="001C7B4B"/>
    <w:rsid w:val="001D1690"/>
    <w:rsid w:val="001D5923"/>
    <w:rsid w:val="00224036"/>
    <w:rsid w:val="002267DD"/>
    <w:rsid w:val="002629C0"/>
    <w:rsid w:val="002724B8"/>
    <w:rsid w:val="002B0BFF"/>
    <w:rsid w:val="002B6D55"/>
    <w:rsid w:val="002C23EA"/>
    <w:rsid w:val="002D1F39"/>
    <w:rsid w:val="002D29B5"/>
    <w:rsid w:val="002E4422"/>
    <w:rsid w:val="002F373B"/>
    <w:rsid w:val="003203FA"/>
    <w:rsid w:val="0035205E"/>
    <w:rsid w:val="003642E9"/>
    <w:rsid w:val="0036630A"/>
    <w:rsid w:val="0037173C"/>
    <w:rsid w:val="003825AE"/>
    <w:rsid w:val="00386398"/>
    <w:rsid w:val="00394348"/>
    <w:rsid w:val="003A35E9"/>
    <w:rsid w:val="003B0017"/>
    <w:rsid w:val="003F001B"/>
    <w:rsid w:val="003F00F9"/>
    <w:rsid w:val="003F259A"/>
    <w:rsid w:val="003F3A8C"/>
    <w:rsid w:val="00404F3B"/>
    <w:rsid w:val="0042048B"/>
    <w:rsid w:val="00424576"/>
    <w:rsid w:val="00426C67"/>
    <w:rsid w:val="004536E9"/>
    <w:rsid w:val="0048424E"/>
    <w:rsid w:val="004A050A"/>
    <w:rsid w:val="004C2937"/>
    <w:rsid w:val="004D009B"/>
    <w:rsid w:val="004E51EE"/>
    <w:rsid w:val="004F2758"/>
    <w:rsid w:val="00502382"/>
    <w:rsid w:val="00502E02"/>
    <w:rsid w:val="00515BC2"/>
    <w:rsid w:val="00525AD3"/>
    <w:rsid w:val="00531CDF"/>
    <w:rsid w:val="0058549B"/>
    <w:rsid w:val="00590574"/>
    <w:rsid w:val="0059200B"/>
    <w:rsid w:val="005927AD"/>
    <w:rsid w:val="00597B12"/>
    <w:rsid w:val="005A6FEC"/>
    <w:rsid w:val="005B0B72"/>
    <w:rsid w:val="005B5AA3"/>
    <w:rsid w:val="005D3991"/>
    <w:rsid w:val="005D3F96"/>
    <w:rsid w:val="005D51F4"/>
    <w:rsid w:val="005E2A1E"/>
    <w:rsid w:val="005E2E5C"/>
    <w:rsid w:val="005F79C0"/>
    <w:rsid w:val="00617FB3"/>
    <w:rsid w:val="00623CD5"/>
    <w:rsid w:val="00626268"/>
    <w:rsid w:val="006269DC"/>
    <w:rsid w:val="00636F6A"/>
    <w:rsid w:val="0064124C"/>
    <w:rsid w:val="00655DBF"/>
    <w:rsid w:val="006929C5"/>
    <w:rsid w:val="006A0296"/>
    <w:rsid w:val="006A53F3"/>
    <w:rsid w:val="00700E5C"/>
    <w:rsid w:val="0071567E"/>
    <w:rsid w:val="00724144"/>
    <w:rsid w:val="00746CE3"/>
    <w:rsid w:val="0075176B"/>
    <w:rsid w:val="007650EC"/>
    <w:rsid w:val="007726DD"/>
    <w:rsid w:val="00785281"/>
    <w:rsid w:val="007A674D"/>
    <w:rsid w:val="007B11F9"/>
    <w:rsid w:val="007B3452"/>
    <w:rsid w:val="007C68AD"/>
    <w:rsid w:val="007D0D7A"/>
    <w:rsid w:val="007E6BCA"/>
    <w:rsid w:val="00806DC7"/>
    <w:rsid w:val="00813CE0"/>
    <w:rsid w:val="008454C7"/>
    <w:rsid w:val="008458FE"/>
    <w:rsid w:val="00850F4F"/>
    <w:rsid w:val="0085188A"/>
    <w:rsid w:val="008608D2"/>
    <w:rsid w:val="00865381"/>
    <w:rsid w:val="00867564"/>
    <w:rsid w:val="00881138"/>
    <w:rsid w:val="00896535"/>
    <w:rsid w:val="008967B8"/>
    <w:rsid w:val="008D514B"/>
    <w:rsid w:val="008F2AFD"/>
    <w:rsid w:val="008F3910"/>
    <w:rsid w:val="008F45BF"/>
    <w:rsid w:val="008F4A40"/>
    <w:rsid w:val="008F5642"/>
    <w:rsid w:val="0091004B"/>
    <w:rsid w:val="00914B93"/>
    <w:rsid w:val="0091593C"/>
    <w:rsid w:val="00917462"/>
    <w:rsid w:val="00924266"/>
    <w:rsid w:val="00944299"/>
    <w:rsid w:val="0094459E"/>
    <w:rsid w:val="00975373"/>
    <w:rsid w:val="00985001"/>
    <w:rsid w:val="009A71CA"/>
    <w:rsid w:val="009B28BB"/>
    <w:rsid w:val="009E380B"/>
    <w:rsid w:val="009E7B3C"/>
    <w:rsid w:val="009F5219"/>
    <w:rsid w:val="00A31CF8"/>
    <w:rsid w:val="00A3706D"/>
    <w:rsid w:val="00A41714"/>
    <w:rsid w:val="00A44434"/>
    <w:rsid w:val="00A54D3F"/>
    <w:rsid w:val="00A66504"/>
    <w:rsid w:val="00A70884"/>
    <w:rsid w:val="00A80D01"/>
    <w:rsid w:val="00A9295C"/>
    <w:rsid w:val="00AB0792"/>
    <w:rsid w:val="00AC2219"/>
    <w:rsid w:val="00AC3456"/>
    <w:rsid w:val="00B0126A"/>
    <w:rsid w:val="00B10C99"/>
    <w:rsid w:val="00B10DF9"/>
    <w:rsid w:val="00B12662"/>
    <w:rsid w:val="00B165C2"/>
    <w:rsid w:val="00B23E19"/>
    <w:rsid w:val="00B2688B"/>
    <w:rsid w:val="00B617AF"/>
    <w:rsid w:val="00B825C7"/>
    <w:rsid w:val="00B92192"/>
    <w:rsid w:val="00BC6EC3"/>
    <w:rsid w:val="00BE32A3"/>
    <w:rsid w:val="00C0488B"/>
    <w:rsid w:val="00C04E1A"/>
    <w:rsid w:val="00C06B80"/>
    <w:rsid w:val="00C14F13"/>
    <w:rsid w:val="00C35BDF"/>
    <w:rsid w:val="00C47395"/>
    <w:rsid w:val="00C667AE"/>
    <w:rsid w:val="00C80EDB"/>
    <w:rsid w:val="00C8191D"/>
    <w:rsid w:val="00C954F9"/>
    <w:rsid w:val="00CA0D1A"/>
    <w:rsid w:val="00CA1ABC"/>
    <w:rsid w:val="00CA7ABB"/>
    <w:rsid w:val="00CA7AE1"/>
    <w:rsid w:val="00CC3D67"/>
    <w:rsid w:val="00CF47DD"/>
    <w:rsid w:val="00CF5000"/>
    <w:rsid w:val="00D05D62"/>
    <w:rsid w:val="00D149DC"/>
    <w:rsid w:val="00D17662"/>
    <w:rsid w:val="00D231BC"/>
    <w:rsid w:val="00D368E5"/>
    <w:rsid w:val="00D5153E"/>
    <w:rsid w:val="00D83AED"/>
    <w:rsid w:val="00DC3956"/>
    <w:rsid w:val="00DC59E5"/>
    <w:rsid w:val="00DD5ACB"/>
    <w:rsid w:val="00DF023C"/>
    <w:rsid w:val="00DF2076"/>
    <w:rsid w:val="00DF31E6"/>
    <w:rsid w:val="00E01E71"/>
    <w:rsid w:val="00E1443E"/>
    <w:rsid w:val="00E26A62"/>
    <w:rsid w:val="00E65A22"/>
    <w:rsid w:val="00E829BC"/>
    <w:rsid w:val="00E9672F"/>
    <w:rsid w:val="00EA7645"/>
    <w:rsid w:val="00EB2FD8"/>
    <w:rsid w:val="00EB768B"/>
    <w:rsid w:val="00ED2CC2"/>
    <w:rsid w:val="00ED6429"/>
    <w:rsid w:val="00ED7DA2"/>
    <w:rsid w:val="00EF2135"/>
    <w:rsid w:val="00EF3C59"/>
    <w:rsid w:val="00F026BD"/>
    <w:rsid w:val="00F034A2"/>
    <w:rsid w:val="00F4361C"/>
    <w:rsid w:val="00F52267"/>
    <w:rsid w:val="00F676A3"/>
    <w:rsid w:val="00FA2DA7"/>
    <w:rsid w:val="00FC07A5"/>
    <w:rsid w:val="00FC4D27"/>
    <w:rsid w:val="00FD4B2A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FF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4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006EFF"/>
    <w:pPr>
      <w:keepNext/>
      <w:spacing w:after="120"/>
      <w:jc w:val="right"/>
      <w:outlineLvl w:val="2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6EFF"/>
    <w:rPr>
      <w:rFonts w:eastAsia="Arial Unicode MS"/>
      <w:szCs w:val="20"/>
      <w:lang w:eastAsia="ru-RU"/>
    </w:rPr>
  </w:style>
  <w:style w:type="paragraph" w:styleId="a3">
    <w:name w:val="Body Text"/>
    <w:basedOn w:val="a"/>
    <w:link w:val="a4"/>
    <w:uiPriority w:val="99"/>
    <w:qFormat/>
    <w:rsid w:val="00006EF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06EFF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qFormat/>
    <w:rsid w:val="00006EFF"/>
    <w:pPr>
      <w:ind w:left="2268" w:hanging="1559"/>
      <w:jc w:val="both"/>
    </w:pPr>
    <w:rPr>
      <w:u w:val="single"/>
    </w:rPr>
  </w:style>
  <w:style w:type="character" w:customStyle="1" w:styleId="32">
    <w:name w:val="Основной текст с отступом 3 Знак"/>
    <w:basedOn w:val="a0"/>
    <w:link w:val="31"/>
    <w:rsid w:val="00006EFF"/>
    <w:rPr>
      <w:rFonts w:eastAsia="Times New Roman"/>
      <w:szCs w:val="20"/>
      <w:u w:val="single"/>
      <w:lang w:eastAsia="ru-RU"/>
    </w:rPr>
  </w:style>
  <w:style w:type="paragraph" w:styleId="a5">
    <w:name w:val="footer"/>
    <w:basedOn w:val="a"/>
    <w:link w:val="a6"/>
    <w:rsid w:val="00006EF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06EFF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rsid w:val="00006EF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06EFF"/>
    <w:rPr>
      <w:rFonts w:eastAsia="Times New Roman"/>
      <w:szCs w:val="20"/>
      <w:lang w:eastAsia="ru-RU"/>
    </w:rPr>
  </w:style>
  <w:style w:type="character" w:styleId="a9">
    <w:name w:val="page number"/>
    <w:basedOn w:val="a0"/>
    <w:rsid w:val="00006EFF"/>
  </w:style>
  <w:style w:type="paragraph" w:customStyle="1" w:styleId="ConsPlusNormal">
    <w:name w:val="ConsPlusNormal"/>
    <w:link w:val="ConsPlusNormal0"/>
    <w:rsid w:val="00006EFF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rsid w:val="00006EFF"/>
    <w:rPr>
      <w:rFonts w:eastAsia="Times New Roman"/>
      <w:sz w:val="28"/>
      <w:szCs w:val="28"/>
      <w:lang w:eastAsia="ru-RU" w:bidi="ar-SA"/>
    </w:rPr>
  </w:style>
  <w:style w:type="paragraph" w:customStyle="1" w:styleId="11">
    <w:name w:val="Стиль1"/>
    <w:basedOn w:val="a3"/>
    <w:link w:val="12"/>
    <w:qFormat/>
    <w:rsid w:val="00006EFF"/>
    <w:pPr>
      <w:ind w:firstLine="510"/>
    </w:pPr>
    <w:rPr>
      <w:sz w:val="24"/>
      <w:szCs w:val="24"/>
    </w:rPr>
  </w:style>
  <w:style w:type="character" w:customStyle="1" w:styleId="12">
    <w:name w:val="Стиль1 Знак"/>
    <w:basedOn w:val="a0"/>
    <w:link w:val="11"/>
    <w:locked/>
    <w:rsid w:val="00006EFF"/>
    <w:rPr>
      <w:rFonts w:eastAsia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C06B8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06B80"/>
    <w:rPr>
      <w:rFonts w:ascii="Tahoma" w:eastAsia="Times New Roman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B617AF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617AF"/>
    <w:rPr>
      <w:rFonts w:eastAsia="Times New Roman"/>
    </w:rPr>
  </w:style>
  <w:style w:type="character" w:styleId="ae">
    <w:name w:val="endnote reference"/>
    <w:basedOn w:val="a0"/>
    <w:uiPriority w:val="99"/>
    <w:semiHidden/>
    <w:unhideWhenUsed/>
    <w:rsid w:val="00B617AF"/>
    <w:rPr>
      <w:vertAlign w:val="superscript"/>
    </w:rPr>
  </w:style>
  <w:style w:type="character" w:styleId="af">
    <w:name w:val="Hyperlink"/>
    <w:basedOn w:val="a0"/>
    <w:uiPriority w:val="99"/>
    <w:unhideWhenUsed/>
    <w:rsid w:val="005927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0D41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login.consultant.ru/link/?req=doc&amp;base=LAW&amp;n=359690&amp;dst=100306" TargetMode="External"/><Relationship Id="rId18" Type="http://schemas.openxmlformats.org/officeDocument/2006/relationships/hyperlink" Target="https://login.consultant.ru/link/?req=doc&amp;base=LAW&amp;n=359690&amp;dst=10031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3213&amp;dst=1001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9690&amp;dst=100306" TargetMode="External"/><Relationship Id="rId17" Type="http://schemas.openxmlformats.org/officeDocument/2006/relationships/hyperlink" Target="https://login.consultant.ru/link/?req=doc&amp;base=LAW&amp;n=359690&amp;dst=100313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5443" TargetMode="External"/><Relationship Id="rId20" Type="http://schemas.openxmlformats.org/officeDocument/2006/relationships/hyperlink" Target="https://login.consultant.ru/link/?req=doc&amp;base=LAW&amp;n=166062&amp;dst=1034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eaties.un.org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5443&amp;dst=100057" TargetMode="External"/><Relationship Id="rId23" Type="http://schemas.openxmlformats.org/officeDocument/2006/relationships/hyperlink" Target="https://login.consultant.ru/link/?req=doc&amp;base=LAW&amp;n=494936&amp;dst=8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ccis.org/reestrv2/" TargetMode="External"/><Relationship Id="rId19" Type="http://schemas.openxmlformats.org/officeDocument/2006/relationships/hyperlink" Target="https://login.consultant.ru/link/?req=doc&amp;base=LAW&amp;n=154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d.ru" TargetMode="External"/><Relationship Id="rId14" Type="http://schemas.openxmlformats.org/officeDocument/2006/relationships/hyperlink" Target="https://login.consultant.ru/link/?req=doc&amp;base=LAW&amp;n=359690&amp;dst=100306" TargetMode="External"/><Relationship Id="rId22" Type="http://schemas.openxmlformats.org/officeDocument/2006/relationships/hyperlink" Target="https://login.consultant.ru/link/?req=doc&amp;base=LAW&amp;n=494936&amp;dst=24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BD949-9CA7-4AF9-BA8B-9670686F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2025-05-13T07:15:00Z</cp:lastPrinted>
  <dcterms:created xsi:type="dcterms:W3CDTF">2025-05-13T06:48:00Z</dcterms:created>
  <dcterms:modified xsi:type="dcterms:W3CDTF">2025-05-13T07:44:00Z</dcterms:modified>
</cp:coreProperties>
</file>